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2D354">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附件2</w:t>
      </w:r>
    </w:p>
    <w:p w14:paraId="579CBBF7">
      <w:pPr>
        <w:spacing w:line="550" w:lineRule="exact"/>
        <w:ind w:firstLine="640"/>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综合评分明细表</w:t>
      </w:r>
    </w:p>
    <w:tbl>
      <w:tblPr>
        <w:tblStyle w:val="2"/>
        <w:tblpPr w:leftFromText="180" w:rightFromText="180" w:vertAnchor="text" w:horzAnchor="page" w:tblpX="2037" w:tblpY="618"/>
        <w:tblOverlap w:val="never"/>
        <w:tblW w:w="80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826"/>
        <w:gridCol w:w="5404"/>
        <w:gridCol w:w="1210"/>
      </w:tblGrid>
      <w:tr w14:paraId="43330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trPr>
        <w:tc>
          <w:tcPr>
            <w:tcW w:w="657" w:type="dxa"/>
            <w:noWrap/>
            <w:vAlign w:val="center"/>
          </w:tcPr>
          <w:p w14:paraId="048B685F">
            <w:pPr>
              <w:adjustRightInd w:val="0"/>
              <w:snapToGrid w:val="0"/>
              <w:jc w:val="both"/>
              <w:rPr>
                <w:rFonts w:ascii="楷体" w:hAnsi="楷体" w:eastAsia="楷体" w:cs="楷体"/>
                <w:szCs w:val="21"/>
              </w:rPr>
            </w:pPr>
            <w:r>
              <w:rPr>
                <w:rFonts w:hint="eastAsia" w:ascii="楷体" w:hAnsi="楷体" w:eastAsia="楷体" w:cs="楷体"/>
                <w:szCs w:val="21"/>
              </w:rPr>
              <w:t>评分维度</w:t>
            </w:r>
          </w:p>
        </w:tc>
        <w:tc>
          <w:tcPr>
            <w:tcW w:w="826" w:type="dxa"/>
            <w:noWrap/>
            <w:vAlign w:val="center"/>
          </w:tcPr>
          <w:p w14:paraId="40337237">
            <w:pPr>
              <w:adjustRightInd w:val="0"/>
              <w:snapToGrid w:val="0"/>
              <w:jc w:val="center"/>
              <w:rPr>
                <w:rFonts w:hint="eastAsia" w:ascii="楷体" w:hAnsi="楷体" w:eastAsia="楷体" w:cs="楷体"/>
                <w:szCs w:val="21"/>
                <w:lang w:eastAsia="zh-CN"/>
              </w:rPr>
            </w:pPr>
            <w:r>
              <w:rPr>
                <w:rFonts w:hint="eastAsia" w:ascii="楷体" w:hAnsi="楷体" w:eastAsia="楷体" w:cs="楷体"/>
                <w:szCs w:val="21"/>
                <w:lang w:eastAsia="zh-CN"/>
              </w:rPr>
              <w:t>权重</w:t>
            </w:r>
          </w:p>
        </w:tc>
        <w:tc>
          <w:tcPr>
            <w:tcW w:w="5404" w:type="dxa"/>
            <w:noWrap/>
            <w:vAlign w:val="center"/>
          </w:tcPr>
          <w:p w14:paraId="4D2715A4">
            <w:pPr>
              <w:adjustRightInd w:val="0"/>
              <w:snapToGrid w:val="0"/>
              <w:jc w:val="center"/>
              <w:rPr>
                <w:rFonts w:ascii="楷体" w:hAnsi="楷体" w:eastAsia="楷体" w:cs="楷体"/>
                <w:szCs w:val="21"/>
              </w:rPr>
            </w:pPr>
            <w:r>
              <w:rPr>
                <w:rFonts w:hint="eastAsia" w:ascii="楷体" w:hAnsi="楷体" w:eastAsia="楷体" w:cs="楷体"/>
                <w:szCs w:val="21"/>
              </w:rPr>
              <w:t>评分细则</w:t>
            </w:r>
          </w:p>
        </w:tc>
        <w:tc>
          <w:tcPr>
            <w:tcW w:w="1210" w:type="dxa"/>
            <w:noWrap/>
            <w:vAlign w:val="center"/>
          </w:tcPr>
          <w:p w14:paraId="7FDA3E28">
            <w:pPr>
              <w:adjustRightInd w:val="0"/>
              <w:snapToGrid w:val="0"/>
              <w:jc w:val="center"/>
              <w:rPr>
                <w:rFonts w:hint="eastAsia" w:ascii="楷体" w:hAnsi="楷体" w:eastAsia="楷体" w:cs="楷体"/>
                <w:szCs w:val="21"/>
                <w:lang w:val="en-US" w:eastAsia="zh-CN"/>
              </w:rPr>
            </w:pPr>
            <w:r>
              <w:rPr>
                <w:rFonts w:hint="eastAsia" w:ascii="楷体" w:hAnsi="楷体" w:eastAsia="楷体" w:cs="楷体"/>
                <w:szCs w:val="21"/>
                <w:lang w:val="en-US" w:eastAsia="zh-CN"/>
              </w:rPr>
              <w:t>得分</w:t>
            </w:r>
          </w:p>
        </w:tc>
      </w:tr>
      <w:tr w14:paraId="7141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57" w:type="dxa"/>
            <w:noWrap/>
            <w:vAlign w:val="center"/>
          </w:tcPr>
          <w:p w14:paraId="4E0679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报价合理性</w:t>
            </w:r>
          </w:p>
        </w:tc>
        <w:tc>
          <w:tcPr>
            <w:tcW w:w="826" w:type="dxa"/>
            <w:noWrap/>
            <w:vAlign w:val="center"/>
          </w:tcPr>
          <w:p w14:paraId="459E0E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10分</w:t>
            </w:r>
          </w:p>
        </w:tc>
        <w:tc>
          <w:tcPr>
            <w:tcW w:w="5404" w:type="dxa"/>
            <w:noWrap/>
            <w:vAlign w:val="center"/>
          </w:tcPr>
          <w:p w14:paraId="35ECCC0C">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1.以有效报价(不高于最高限价17.00万元/年)的最低报价为基准价,基准价得</w:t>
            </w:r>
            <w:r>
              <w:rPr>
                <w:rFonts w:hint="eastAsia" w:ascii="楷体" w:hAnsi="楷体" w:eastAsia="楷体" w:cs="楷体"/>
                <w:color w:val="000000" w:themeColor="text1"/>
                <w:szCs w:val="21"/>
                <w:highlight w:val="none"/>
                <w:lang w:val="en-US" w:eastAsia="zh-CN"/>
                <w14:textFill>
                  <w14:solidFill>
                    <w14:schemeClr w14:val="tx1"/>
                  </w14:solidFill>
                </w14:textFill>
              </w:rPr>
              <w:t>1</w:t>
            </w:r>
            <w:r>
              <w:rPr>
                <w:rFonts w:hint="eastAsia" w:ascii="楷体" w:hAnsi="楷体" w:eastAsia="楷体" w:cs="楷体"/>
                <w:color w:val="000000" w:themeColor="text1"/>
                <w:szCs w:val="21"/>
                <w:highlight w:val="none"/>
                <w14:textFill>
                  <w14:solidFill>
                    <w14:schemeClr w14:val="tx1"/>
                  </w14:solidFill>
                </w14:textFill>
              </w:rPr>
              <w:t>0分;</w:t>
            </w:r>
          </w:p>
          <w:p w14:paraId="288625E5">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2.其他有效报价得分=(基准价/该供应商报价)x</w:t>
            </w:r>
            <w:r>
              <w:rPr>
                <w:rFonts w:hint="eastAsia" w:ascii="楷体" w:hAnsi="楷体" w:eastAsia="楷体" w:cs="楷体"/>
                <w:color w:val="000000" w:themeColor="text1"/>
                <w:szCs w:val="21"/>
                <w:highlight w:val="none"/>
                <w:lang w:val="en-US" w:eastAsia="zh-CN"/>
                <w14:textFill>
                  <w14:solidFill>
                    <w14:schemeClr w14:val="tx1"/>
                  </w14:solidFill>
                </w14:textFill>
              </w:rPr>
              <w:t>1</w:t>
            </w:r>
            <w:r>
              <w:rPr>
                <w:rFonts w:hint="eastAsia" w:ascii="楷体" w:hAnsi="楷体" w:eastAsia="楷体" w:cs="楷体"/>
                <w:color w:val="000000" w:themeColor="text1"/>
                <w:szCs w:val="21"/>
                <w:highlight w:val="none"/>
                <w14:textFill>
                  <w14:solidFill>
                    <w14:schemeClr w14:val="tx1"/>
                  </w14:solidFill>
                </w14:textFill>
              </w:rPr>
              <w:t>0;</w:t>
            </w:r>
          </w:p>
          <w:p w14:paraId="2F1BB1F9">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3.报价明显低于其他通过资格性审查供应商报价，且未能合理说明或提供有效证明材料的，本项得0分。</w:t>
            </w:r>
          </w:p>
        </w:tc>
        <w:tc>
          <w:tcPr>
            <w:tcW w:w="1210" w:type="dxa"/>
            <w:noWrap/>
            <w:vAlign w:val="center"/>
          </w:tcPr>
          <w:p w14:paraId="35EC0AA8">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楷体" w:hAnsi="楷体" w:eastAsia="楷体" w:cs="楷体"/>
                <w:color w:val="000000" w:themeColor="text1"/>
                <w:szCs w:val="21"/>
                <w:highlight w:val="none"/>
                <w14:textFill>
                  <w14:solidFill>
                    <w14:schemeClr w14:val="tx1"/>
                  </w14:solidFill>
                </w14:textFill>
              </w:rPr>
            </w:pPr>
          </w:p>
        </w:tc>
      </w:tr>
      <w:tr w14:paraId="71C8D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57" w:type="dxa"/>
            <w:noWrap/>
            <w:vAlign w:val="center"/>
          </w:tcPr>
          <w:p w14:paraId="06F379A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服务方案完整性与适配性</w:t>
            </w:r>
          </w:p>
        </w:tc>
        <w:tc>
          <w:tcPr>
            <w:tcW w:w="826" w:type="dxa"/>
            <w:noWrap/>
            <w:vAlign w:val="center"/>
          </w:tcPr>
          <w:p w14:paraId="2332343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楷体" w:hAnsi="楷体" w:eastAsia="楷体" w:cs="楷体"/>
                <w:color w:val="000000" w:themeColor="text1"/>
                <w:szCs w:val="21"/>
                <w:highlight w:val="none"/>
                <w:lang w:val="en-US"/>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25分</w:t>
            </w:r>
          </w:p>
        </w:tc>
        <w:tc>
          <w:tcPr>
            <w:tcW w:w="5404" w:type="dxa"/>
            <w:noWrap/>
            <w:vAlign w:val="top"/>
          </w:tcPr>
          <w:p w14:paraId="1985067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1.线路配置响应(10分):明确承诺完全满足公告核心线路配置要求，得10分;每缺1项核心配置或不符合要求，扣2分，扣完为止;</w:t>
            </w:r>
          </w:p>
          <w:p w14:paraId="63842C55">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2.IPv6地址保障(</w:t>
            </w:r>
            <w:r>
              <w:rPr>
                <w:rFonts w:hint="eastAsia" w:ascii="楷体" w:hAnsi="楷体" w:eastAsia="楷体" w:cs="楷体"/>
                <w:color w:val="000000" w:themeColor="text1"/>
                <w:szCs w:val="21"/>
                <w:highlight w:val="none"/>
                <w:lang w:val="en-US" w:eastAsia="zh-CN"/>
                <w14:textFill>
                  <w14:solidFill>
                    <w14:schemeClr w14:val="tx1"/>
                  </w14:solidFill>
                </w14:textFill>
              </w:rPr>
              <w:t>5</w:t>
            </w:r>
            <w:r>
              <w:rPr>
                <w:rFonts w:hint="eastAsia" w:ascii="楷体" w:hAnsi="楷体" w:eastAsia="楷体" w:cs="楷体"/>
                <w:color w:val="000000" w:themeColor="text1"/>
                <w:szCs w:val="21"/>
                <w:highlight w:val="none"/>
                <w14:textFill>
                  <w14:solidFill>
                    <w14:schemeClr w14:val="tx1"/>
                  </w14:solidFill>
                </w14:textFill>
              </w:rPr>
              <w:t>分):明确承诺提供不少于9个固定IPv6公网地址且支持相关技术适配，得</w:t>
            </w:r>
            <w:r>
              <w:rPr>
                <w:rFonts w:hint="eastAsia" w:ascii="楷体" w:hAnsi="楷体" w:eastAsia="楷体" w:cs="楷体"/>
                <w:color w:val="000000" w:themeColor="text1"/>
                <w:szCs w:val="21"/>
                <w:highlight w:val="none"/>
                <w:lang w:val="en-US" w:eastAsia="zh-CN"/>
                <w14:textFill>
                  <w14:solidFill>
                    <w14:schemeClr w14:val="tx1"/>
                  </w14:solidFill>
                </w14:textFill>
              </w:rPr>
              <w:t>3</w:t>
            </w:r>
            <w:r>
              <w:rPr>
                <w:rFonts w:hint="eastAsia" w:ascii="楷体" w:hAnsi="楷体" w:eastAsia="楷体" w:cs="楷体"/>
                <w:color w:val="000000" w:themeColor="text1"/>
                <w:szCs w:val="21"/>
                <w:highlight w:val="none"/>
                <w14:textFill>
                  <w14:solidFill>
                    <w14:schemeClr w14:val="tx1"/>
                  </w14:solidFill>
                </w14:textFill>
              </w:rPr>
              <w:t>分;未明确数量或适配能力，</w:t>
            </w:r>
            <w:r>
              <w:rPr>
                <w:rFonts w:hint="eastAsia" w:ascii="楷体" w:hAnsi="楷体" w:eastAsia="楷体" w:cs="楷体"/>
                <w:color w:val="000000" w:themeColor="text1"/>
                <w:szCs w:val="21"/>
                <w:highlight w:val="none"/>
                <w:lang w:val="en-US" w:eastAsia="zh-CN"/>
                <w14:textFill>
                  <w14:solidFill>
                    <w14:schemeClr w14:val="tx1"/>
                  </w14:solidFill>
                </w14:textFill>
              </w:rPr>
              <w:t>不得</w:t>
            </w:r>
            <w:r>
              <w:rPr>
                <w:rFonts w:hint="eastAsia" w:ascii="楷体" w:hAnsi="楷体" w:eastAsia="楷体" w:cs="楷体"/>
                <w:color w:val="000000" w:themeColor="text1"/>
                <w:szCs w:val="21"/>
                <w:highlight w:val="none"/>
                <w14:textFill>
                  <w14:solidFill>
                    <w14:schemeClr w14:val="tx1"/>
                  </w14:solidFill>
                </w14:textFill>
              </w:rPr>
              <w:t>分;</w:t>
            </w:r>
          </w:p>
          <w:p w14:paraId="5BC9E62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3.IPv6访问保障（5分）：网络服务支持IPV6/IPV4翻译，支持现有ipv4网站或者ipv4数据中心无需改造接入后即可被ipv6用户访问，支持平滑过渡到ipv6网络。可提供云端ipv6改造方案无需改动源站内容。支持IPV6 外链改造。具备以上功能得5分，不具备则不得分。（提供相关产品功能界面截图加盖供应商公章）</w:t>
            </w:r>
          </w:p>
          <w:p w14:paraId="6A9FD87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4</w:t>
            </w:r>
            <w:r>
              <w:rPr>
                <w:rFonts w:hint="eastAsia" w:ascii="楷体" w:hAnsi="楷体" w:eastAsia="楷体" w:cs="楷体"/>
                <w:color w:val="000000" w:themeColor="text1"/>
                <w:szCs w:val="21"/>
                <w:highlight w:val="none"/>
                <w14:textFill>
                  <w14:solidFill>
                    <w14:schemeClr w14:val="tx1"/>
                  </w14:solidFill>
                </w14:textFill>
              </w:rPr>
              <w:t>.实施计划(</w:t>
            </w:r>
            <w:r>
              <w:rPr>
                <w:rFonts w:hint="eastAsia" w:ascii="楷体" w:hAnsi="楷体" w:eastAsia="楷体" w:cs="楷体"/>
                <w:color w:val="000000" w:themeColor="text1"/>
                <w:szCs w:val="21"/>
                <w:highlight w:val="none"/>
                <w:lang w:val="en-US" w:eastAsia="zh-CN"/>
                <w14:textFill>
                  <w14:solidFill>
                    <w14:schemeClr w14:val="tx1"/>
                  </w14:solidFill>
                </w14:textFill>
              </w:rPr>
              <w:t>5</w:t>
            </w:r>
            <w:r>
              <w:rPr>
                <w:rFonts w:hint="eastAsia" w:ascii="楷体" w:hAnsi="楷体" w:eastAsia="楷体" w:cs="楷体"/>
                <w:color w:val="000000" w:themeColor="text1"/>
                <w:szCs w:val="21"/>
                <w:highlight w:val="none"/>
                <w14:textFill>
                  <w14:solidFill>
                    <w14:schemeClr w14:val="tx1"/>
                  </w14:solidFill>
                </w14:textFill>
              </w:rPr>
              <w:t>分):实施期限符合合同签订后15日内完成全部准备工作要求,且有详细的线路铺设、设备调试、专网开通等步骤规划，得</w:t>
            </w:r>
            <w:r>
              <w:rPr>
                <w:rFonts w:hint="eastAsia" w:ascii="楷体" w:hAnsi="楷体" w:eastAsia="楷体" w:cs="楷体"/>
                <w:color w:val="000000" w:themeColor="text1"/>
                <w:szCs w:val="21"/>
                <w:highlight w:val="none"/>
                <w:lang w:val="en-US" w:eastAsia="zh-CN"/>
                <w14:textFill>
                  <w14:solidFill>
                    <w14:schemeClr w14:val="tx1"/>
                  </w14:solidFill>
                </w14:textFill>
              </w:rPr>
              <w:t>5</w:t>
            </w:r>
            <w:r>
              <w:rPr>
                <w:rFonts w:hint="eastAsia" w:ascii="楷体" w:hAnsi="楷体" w:eastAsia="楷体" w:cs="楷体"/>
                <w:color w:val="000000" w:themeColor="text1"/>
                <w:szCs w:val="21"/>
                <w:highlight w:val="none"/>
                <w14:textFill>
                  <w14:solidFill>
                    <w14:schemeClr w14:val="tx1"/>
                  </w14:solidFill>
                </w14:textFill>
              </w:rPr>
              <w:t>分;实施期限超时或计划不详细，</w:t>
            </w:r>
            <w:r>
              <w:rPr>
                <w:rFonts w:hint="eastAsia" w:ascii="楷体" w:hAnsi="楷体" w:eastAsia="楷体" w:cs="楷体"/>
                <w:color w:val="000000" w:themeColor="text1"/>
                <w:szCs w:val="21"/>
                <w:highlight w:val="none"/>
                <w:lang w:val="en-US" w:eastAsia="zh-CN"/>
                <w14:textFill>
                  <w14:solidFill>
                    <w14:schemeClr w14:val="tx1"/>
                  </w14:solidFill>
                </w14:textFill>
              </w:rPr>
              <w:t>不得</w:t>
            </w:r>
            <w:r>
              <w:rPr>
                <w:rFonts w:hint="eastAsia" w:ascii="楷体" w:hAnsi="楷体" w:eastAsia="楷体" w:cs="楷体"/>
                <w:color w:val="000000" w:themeColor="text1"/>
                <w:szCs w:val="21"/>
                <w:highlight w:val="none"/>
                <w14:textFill>
                  <w14:solidFill>
                    <w14:schemeClr w14:val="tx1"/>
                  </w14:solidFill>
                </w14:textFill>
              </w:rPr>
              <w:t>分。</w:t>
            </w:r>
          </w:p>
        </w:tc>
        <w:tc>
          <w:tcPr>
            <w:tcW w:w="1210" w:type="dxa"/>
            <w:noWrap/>
            <w:vAlign w:val="top"/>
          </w:tcPr>
          <w:p w14:paraId="51AFCCD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14:textFill>
                  <w14:solidFill>
                    <w14:schemeClr w14:val="tx1"/>
                  </w14:solidFill>
                </w14:textFill>
              </w:rPr>
            </w:pPr>
          </w:p>
        </w:tc>
      </w:tr>
      <w:tr w14:paraId="61BE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6" w:hRule="atLeast"/>
        </w:trPr>
        <w:tc>
          <w:tcPr>
            <w:tcW w:w="657" w:type="dxa"/>
            <w:noWrap/>
            <w:vAlign w:val="center"/>
          </w:tcPr>
          <w:p w14:paraId="4932130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lang w:val="en-US" w:eastAsia="zh-CN"/>
                <w14:textFill>
                  <w14:solidFill>
                    <w14:schemeClr w14:val="tx1"/>
                  </w14:solidFill>
                </w14:textFill>
              </w:rPr>
              <w:t>性能指标保障能力</w:t>
            </w:r>
          </w:p>
        </w:tc>
        <w:tc>
          <w:tcPr>
            <w:tcW w:w="826" w:type="dxa"/>
            <w:noWrap/>
            <w:vAlign w:val="center"/>
          </w:tcPr>
          <w:p w14:paraId="51C167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30分</w:t>
            </w:r>
          </w:p>
        </w:tc>
        <w:tc>
          <w:tcPr>
            <w:tcW w:w="5404" w:type="dxa"/>
            <w:tcBorders>
              <w:bottom w:val="single" w:color="auto" w:sz="4" w:space="0"/>
            </w:tcBorders>
            <w:noWrap/>
            <w:vAlign w:val="top"/>
          </w:tcPr>
          <w:p w14:paraId="76C54DB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1.接入速率(5分):承诺实际测速值不低于标称速率95%，且提供明确保障措施(如设备配置、技术优化等)，得5分;未明确保障措施，不得分;</w:t>
            </w:r>
          </w:p>
          <w:p w14:paraId="3EF352C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2.网络延迟(5分):承诺端到端延迟s20ms(至国内主要城市核心节点)，得5分;未达标不得分;</w:t>
            </w:r>
          </w:p>
          <w:p w14:paraId="31A56F8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3.丢包率与可用率(10分):承诺丢包率0.1%且全年可用率≥99.9%(扣除计划性维护)，每项得5分;每1项未达标不得分，未提供保障措施每项扣2分。</w:t>
            </w:r>
          </w:p>
          <w:p w14:paraId="10E0593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color w:val="000000" w:themeColor="text1"/>
                <w:highlight w:val="none"/>
                <w:lang w:val="en-US"/>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4.IPv6地址能力保障（10分）：供应商或其所属集团公司的IPv6地址量：IPv6地址量＞15000得10分；10000＜IPv6地址量≤15000的得5分；5000＜IPv6地址量≤10000的得1分；IPv6地址量≤5000的不得分</w:t>
            </w:r>
            <w:r>
              <w:rPr>
                <w:rFonts w:hint="eastAsia" w:ascii="楷体" w:hAnsi="楷体" w:eastAsia="楷体" w:cs="楷体"/>
                <w:color w:val="FF0000"/>
                <w:szCs w:val="21"/>
                <w:highlight w:val="none"/>
                <w:lang w:val="en-US" w:eastAsia="zh-CN"/>
              </w:rPr>
              <w:t>。</w:t>
            </w:r>
            <w:r>
              <w:rPr>
                <w:rFonts w:hint="eastAsia" w:ascii="楷体" w:hAnsi="楷体" w:eastAsia="楷体" w:cs="楷体"/>
                <w:color w:val="000000" w:themeColor="text1"/>
                <w:szCs w:val="21"/>
                <w:highlight w:val="none"/>
                <w:lang w:val="en-US" w:eastAsia="zh-CN"/>
                <w14:textFill>
                  <w14:solidFill>
                    <w14:schemeClr w14:val="tx1"/>
                  </w14:solidFill>
                </w14:textFill>
              </w:rPr>
              <w:t>（说明：1、提供CNNIC（中国互联网网络信息中心）发布的最新统计报告截图；2、若供应商获得基础电信运营商授权，则供应商的IPv6地址量以该基础电信运营商IPv6地址数量为准。）</w:t>
            </w:r>
          </w:p>
        </w:tc>
        <w:tc>
          <w:tcPr>
            <w:tcW w:w="1210" w:type="dxa"/>
            <w:tcBorders>
              <w:bottom w:val="single" w:color="auto" w:sz="4" w:space="0"/>
            </w:tcBorders>
            <w:noWrap/>
            <w:vAlign w:val="top"/>
          </w:tcPr>
          <w:p w14:paraId="411025A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p>
        </w:tc>
      </w:tr>
      <w:tr w14:paraId="7681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0" w:hRule="atLeast"/>
        </w:trPr>
        <w:tc>
          <w:tcPr>
            <w:tcW w:w="657" w:type="dxa"/>
            <w:noWrap/>
            <w:vAlign w:val="center"/>
          </w:tcPr>
          <w:p w14:paraId="0916A55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p>
          <w:p w14:paraId="4A27059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p>
          <w:p w14:paraId="2DC7B19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服务水平与售后保障</w:t>
            </w:r>
          </w:p>
        </w:tc>
        <w:tc>
          <w:tcPr>
            <w:tcW w:w="826" w:type="dxa"/>
            <w:noWrap/>
            <w:vAlign w:val="center"/>
          </w:tcPr>
          <w:p w14:paraId="3A26FF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p>
          <w:p w14:paraId="578130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p>
          <w:p w14:paraId="2C6C35F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highlight w:val="none"/>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22分</w:t>
            </w:r>
          </w:p>
        </w:tc>
        <w:tc>
          <w:tcPr>
            <w:tcW w:w="5404" w:type="dxa"/>
            <w:noWrap/>
            <w:vAlign w:val="center"/>
          </w:tcPr>
          <w:p w14:paraId="546B3AF9">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1.7x24小时监控与支持(2分):明确提供7x24小时网络监控及技术支持热线，得2分;未明确不得分;</w:t>
            </w:r>
          </w:p>
          <w:p w14:paraId="15AE7DB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2.故障响应与修复(6分):承诺电话响应时间15分钟，一般故障修复s4小时、重大故障修复s2小时，得6分;每1项未达标扣2分，扣完为止;</w:t>
            </w:r>
          </w:p>
          <w:p w14:paraId="0121619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3.计划性维护(6分):承诺提前72小时书面通知,维护时段符合非工作时段要求，单次维护s4小时，且提供临时备用通信方案及应急预案，得6分;每1项不符合要求扣2分，扣完为止。</w:t>
            </w:r>
          </w:p>
          <w:p w14:paraId="11D44D7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4.应急能力保障（8分）：供应商或其上级公司或其所属集团公司具备长期从事应急通信保障的能力：响应方或其上级公司或其所属集团公司具备独立的、自有的、专门的应急抢险及应急通信保障的机构。根据最新的国家应急通信一类保障队伍考核评估工作文件，机构在考核评估结果中总分≥90分得8分，90分＞总分≥80分得4分，80分＞总分≥70分得2分，其余不得分。（需提供2023年1月1日起应急通信一类保障队伍考核评估文件排名页面截图，并加盖公章）</w:t>
            </w:r>
          </w:p>
        </w:tc>
        <w:tc>
          <w:tcPr>
            <w:tcW w:w="1210" w:type="dxa"/>
            <w:noWrap/>
            <w:vAlign w:val="center"/>
          </w:tcPr>
          <w:p w14:paraId="0663F0E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p>
        </w:tc>
      </w:tr>
      <w:tr w14:paraId="65719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57" w:type="dxa"/>
            <w:noWrap/>
            <w:vAlign w:val="center"/>
          </w:tcPr>
          <w:p w14:paraId="000DB5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lang w:eastAsia="zh-CN"/>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供应商资质</w:t>
            </w:r>
            <w:r>
              <w:rPr>
                <w:rFonts w:hint="eastAsia" w:ascii="楷体" w:hAnsi="楷体" w:eastAsia="楷体" w:cs="楷体"/>
                <w:color w:val="000000" w:themeColor="text1"/>
                <w:szCs w:val="21"/>
                <w:lang w:eastAsia="zh-CN"/>
                <w14:textFill>
                  <w14:solidFill>
                    <w14:schemeClr w14:val="tx1"/>
                  </w14:solidFill>
                </w14:textFill>
              </w:rPr>
              <w:t>与网络安全保障能力</w:t>
            </w:r>
          </w:p>
        </w:tc>
        <w:tc>
          <w:tcPr>
            <w:tcW w:w="826" w:type="dxa"/>
            <w:noWrap/>
            <w:vAlign w:val="center"/>
          </w:tcPr>
          <w:p w14:paraId="5B7C4D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6分</w:t>
            </w:r>
          </w:p>
        </w:tc>
        <w:tc>
          <w:tcPr>
            <w:tcW w:w="5404" w:type="dxa"/>
            <w:noWrap/>
            <w:vAlign w:val="center"/>
          </w:tcPr>
          <w:p w14:paraId="68F4778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国家信息安全漏洞共享平台支撑单位（3分）：供应商或其上级公司或其上级公司下属单位具备CNVD技术组支撑单位的得3分。（提供认证证书复印件）</w:t>
            </w:r>
          </w:p>
          <w:p w14:paraId="3A65B456">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国家信息安全漏洞库(CNNVD）技术支撑单位等级（3分）：供应商或其上级公司或其上级公司下属单位具备CNNVD国家信息安全漏洞库技术支撑单位一级认证的得3分，二级得2分，三级得1分（提供认证证书复印件）</w:t>
            </w:r>
          </w:p>
        </w:tc>
        <w:tc>
          <w:tcPr>
            <w:tcW w:w="1210" w:type="dxa"/>
            <w:noWrap/>
            <w:vAlign w:val="center"/>
          </w:tcPr>
          <w:p w14:paraId="7C04AC18">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highlight w:val="none"/>
                <w:lang w:val="en-US" w:eastAsia="zh-CN"/>
                <w14:textFill>
                  <w14:solidFill>
                    <w14:schemeClr w14:val="tx1"/>
                  </w14:solidFill>
                </w14:textFill>
              </w:rPr>
            </w:pPr>
          </w:p>
        </w:tc>
      </w:tr>
      <w:tr w14:paraId="5B9F5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657" w:type="dxa"/>
            <w:noWrap/>
            <w:vAlign w:val="center"/>
          </w:tcPr>
          <w:p w14:paraId="06E426F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楷体" w:hAnsi="楷体" w:eastAsia="楷体" w:cs="楷体"/>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加分项</w:t>
            </w:r>
          </w:p>
        </w:tc>
        <w:tc>
          <w:tcPr>
            <w:tcW w:w="826" w:type="dxa"/>
            <w:noWrap/>
            <w:vAlign w:val="center"/>
          </w:tcPr>
          <w:p w14:paraId="26AEF7A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楷体" w:hAnsi="楷体" w:eastAsia="楷体" w:cs="楷体"/>
                <w:color w:val="000000" w:themeColor="text1"/>
                <w:szCs w:val="21"/>
                <w:lang w:val="en-US" w:eastAsia="zh-CN"/>
                <w14:textFill>
                  <w14:solidFill>
                    <w14:schemeClr w14:val="tx1"/>
                  </w14:solidFill>
                </w14:textFill>
              </w:rPr>
            </w:pPr>
            <w:r>
              <w:rPr>
                <w:rFonts w:hint="eastAsia" w:ascii="楷体" w:hAnsi="楷体" w:eastAsia="楷体" w:cs="楷体"/>
                <w:color w:val="000000" w:themeColor="text1"/>
                <w:szCs w:val="21"/>
                <w:lang w:val="en-US" w:eastAsia="zh-CN"/>
                <w14:textFill>
                  <w14:solidFill>
                    <w14:schemeClr w14:val="tx1"/>
                  </w14:solidFill>
                </w14:textFill>
              </w:rPr>
              <w:t>7分</w:t>
            </w:r>
          </w:p>
        </w:tc>
        <w:tc>
          <w:tcPr>
            <w:tcW w:w="5404" w:type="dxa"/>
            <w:noWrap/>
            <w:vAlign w:val="center"/>
          </w:tcPr>
          <w:p w14:paraId="699001D4">
            <w:pPr>
              <w:keepNext w:val="0"/>
              <w:keepLines w:val="0"/>
              <w:pageBreakBefore w:val="0"/>
              <w:widowControl w:val="0"/>
              <w:numPr>
                <w:ilvl w:val="0"/>
                <w:numId w:val="0"/>
              </w:numPr>
              <w:tabs>
                <w:tab w:val="left" w:pos="825"/>
              </w:tabs>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lang w:val="en-US" w:eastAsia="zh-CN"/>
                <w14:textFill>
                  <w14:solidFill>
                    <w14:schemeClr w14:val="tx1"/>
                  </w14:solidFill>
                </w14:textFill>
              </w:rPr>
            </w:pPr>
            <w:r>
              <w:rPr>
                <w:rFonts w:hint="eastAsia" w:ascii="楷体" w:hAnsi="楷体" w:eastAsia="楷体" w:cs="楷体"/>
                <w:color w:val="000000" w:themeColor="text1"/>
                <w:szCs w:val="21"/>
                <w:lang w:val="en-US" w:eastAsia="zh-CN"/>
                <w14:textFill>
                  <w14:solidFill>
                    <w14:schemeClr w14:val="tx1"/>
                  </w14:solidFill>
                </w14:textFill>
              </w:rPr>
              <w:t>1.额外服务增值(2分):提供超出公告要求的增值服务(如免费技术培训、定期网络安全检测等)，得2分;</w:t>
            </w:r>
          </w:p>
          <w:p w14:paraId="5E2A6CE2">
            <w:pPr>
              <w:keepNext w:val="0"/>
              <w:keepLines w:val="0"/>
              <w:pageBreakBefore w:val="0"/>
              <w:widowControl w:val="0"/>
              <w:numPr>
                <w:ilvl w:val="0"/>
                <w:numId w:val="0"/>
              </w:numPr>
              <w:tabs>
                <w:tab w:val="left" w:pos="825"/>
              </w:tabs>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FF0000"/>
                <w:szCs w:val="21"/>
                <w:lang w:val="en-US" w:eastAsia="zh-CN"/>
              </w:rPr>
            </w:pPr>
            <w:r>
              <w:rPr>
                <w:rFonts w:hint="eastAsia" w:ascii="楷体" w:hAnsi="楷体" w:eastAsia="楷体" w:cs="楷体"/>
                <w:color w:val="000000" w:themeColor="text1"/>
                <w:szCs w:val="21"/>
                <w:lang w:val="en-US" w:eastAsia="zh-CN"/>
                <w14:textFill>
                  <w14:solidFill>
                    <w14:schemeClr w14:val="tx1"/>
                  </w14:solidFill>
                </w14:textFill>
              </w:rPr>
              <w:t>2.类似项目业绩(5分):提供近3年(2023年1月1日以来)同类互联网专线服务项目业绩证明(合同首页+鲜章页复印件等),每提供1份有效业绩得1分,最多得5分</w:t>
            </w:r>
            <w:r>
              <w:rPr>
                <w:rFonts w:hint="eastAsia" w:ascii="楷体" w:hAnsi="楷体" w:eastAsia="楷体" w:cs="楷体"/>
                <w:color w:val="FF0000"/>
                <w:szCs w:val="21"/>
                <w:lang w:val="en-US" w:eastAsia="zh-CN"/>
              </w:rPr>
              <w:t>;</w:t>
            </w:r>
          </w:p>
        </w:tc>
        <w:tc>
          <w:tcPr>
            <w:tcW w:w="1210" w:type="dxa"/>
            <w:noWrap/>
            <w:vAlign w:val="center"/>
          </w:tcPr>
          <w:p w14:paraId="1CE26F03">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楷体" w:hAnsi="楷体" w:eastAsia="楷体" w:cs="楷体"/>
                <w:color w:val="000000" w:themeColor="text1"/>
                <w:szCs w:val="21"/>
                <w:lang w:val="en-US" w:eastAsia="zh-CN"/>
                <w14:textFill>
                  <w14:solidFill>
                    <w14:schemeClr w14:val="tx1"/>
                  </w14:solidFill>
                </w14:textFill>
              </w:rPr>
            </w:pPr>
          </w:p>
        </w:tc>
      </w:tr>
    </w:tbl>
    <w:p w14:paraId="44A84988">
      <w:pPr>
        <w:rPr>
          <w:color w:val="000000" w:themeColor="text1"/>
          <w14:textFill>
            <w14:solidFill>
              <w14:schemeClr w14:val="tx1"/>
            </w14:solidFill>
          </w14:textFill>
        </w:rPr>
      </w:pPr>
    </w:p>
    <w:tbl>
      <w:tblPr>
        <w:tblStyle w:val="3"/>
        <w:tblpPr w:leftFromText="180" w:rightFromText="180" w:vertAnchor="text" w:tblpX="10427" w:tblpY="-18326"/>
        <w:tblOverlap w:val="never"/>
        <w:tblW w:w="3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1"/>
      </w:tblGrid>
      <w:tr w14:paraId="18E3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21" w:type="dxa"/>
          </w:tcPr>
          <w:p w14:paraId="7D2CF799">
            <w:pPr>
              <w:rPr>
                <w:vertAlign w:val="baseline"/>
              </w:rPr>
            </w:pPr>
          </w:p>
        </w:tc>
      </w:tr>
    </w:tbl>
    <w:p w14:paraId="13352E72">
      <w:pPr>
        <w:widowControl w:val="0"/>
        <w:spacing w:line="560" w:lineRule="exact"/>
        <w:ind w:left="0" w:leftChars="0" w:firstLine="0" w:firstLineChars="0"/>
        <w:rPr>
          <w:rFonts w:hint="eastAsia" w:ascii="仿宋_GB2312" w:hAnsi="仿宋_GB2312" w:eastAsia="仿宋_GB2312" w:cs="Times New Roman"/>
          <w:sz w:val="32"/>
          <w:szCs w:val="32"/>
          <w:lang w:eastAsia="zh-CN"/>
        </w:rPr>
      </w:pPr>
    </w:p>
    <w:p w14:paraId="6C27D37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22D7B"/>
    <w:rsid w:val="26A22D7B"/>
    <w:rsid w:val="79BF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2026-01-14T07:55:00Z</dcterms:created>
  <dc:creator>shuya</dc:creator>
  <cp:lastModifiedBy>shuya</cp:lastModifiedBy>
  <dcterms:modified xsi:type="dcterms:W3CDTF">2026-01-14T07:56:13Z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526E1C7E66434F4E9839390A8CCB0439_13</vt:lpwstr>
  </property>
  <property fmtid="{D5CDD505-2E9C-101B-9397-08002B2CF9AE}" pid="4" name="KSOTemplateDocerSaveRecord">
    <vt:lpwstr>eyJoZGlkIjoiMTRiNmE3NDA5Mzk2MjhlMTgyMzEyZTRjZTU5NThkNTAiLCJ1c2VySWQiOiI0MjA1OTkwNjMifQ==</vt:lpwstr>
  </property>
</Properties>
</file>