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四川省教育</w:t>
      </w:r>
      <w:r>
        <w:rPr>
          <w:rFonts w:hint="eastAsia" w:ascii="Times New Roman" w:hAnsi="Times New Roman" w:eastAsia="方正小标宋简体" w:cs="Times New Roman"/>
          <w:sz w:val="36"/>
          <w:szCs w:val="36"/>
        </w:rPr>
        <w:t>评估</w:t>
      </w:r>
      <w:r>
        <w:rPr>
          <w:rFonts w:ascii="Times New Roman" w:hAnsi="Times New Roman" w:eastAsia="方正小标宋简体" w:cs="Times New Roman"/>
          <w:sz w:val="36"/>
          <w:szCs w:val="36"/>
        </w:rPr>
        <w:t>院关于2021年</w:t>
      </w:r>
    </w:p>
    <w:p>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对市（州）人民政府履行教育职责评价系统服务项目</w:t>
      </w:r>
    </w:p>
    <w:p>
      <w:pPr>
        <w:spacing w:line="600" w:lineRule="exact"/>
        <w:jc w:val="center"/>
        <w:rPr>
          <w:rFonts w:hint="eastAsia"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rPr>
        <w:t>的竞争性磋商公告</w:t>
      </w: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第二次</w:t>
      </w:r>
      <w:r>
        <w:rPr>
          <w:rFonts w:hint="eastAsia" w:ascii="Times New Roman" w:hAnsi="Times New Roman" w:eastAsia="方正小标宋简体" w:cs="Times New Roman"/>
          <w:sz w:val="36"/>
          <w:szCs w:val="36"/>
          <w:lang w:eastAsia="zh-CN"/>
        </w:rPr>
        <w:t>）</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四川省教育</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院将对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2021年对市（州）人民政府履行教育职责评价系统服务项目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进行竞争性磋商，拟选择1家供应商提供服务，特邀请符合本次采购要求的供应商参加本项目的竞争性磋商。</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2021年对市（州）人民政府履行教育职责评价系统服务项目。</w:t>
      </w:r>
    </w:p>
    <w:p>
      <w:pPr>
        <w:spacing w:line="600" w:lineRule="exact"/>
        <w:ind w:firstLine="640" w:firstLineChars="200"/>
        <w:rPr>
          <w:rFonts w:ascii="Times New Roman" w:hAnsi="Times New Roman" w:eastAsia="黑体" w:cs="Times New Roman"/>
          <w:sz w:val="32"/>
          <w:szCs w:val="32"/>
        </w:rPr>
      </w:pPr>
      <w:bookmarkStart w:id="0" w:name="_Toc139126085"/>
      <w:bookmarkStart w:id="1" w:name="_Toc139102993"/>
      <w:bookmarkStart w:id="2" w:name="_Toc139126570"/>
      <w:r>
        <w:rPr>
          <w:rFonts w:ascii="Times New Roman" w:hAnsi="Times New Roman" w:eastAsia="黑体" w:cs="Times New Roman"/>
          <w:sz w:val="32"/>
          <w:szCs w:val="32"/>
        </w:rPr>
        <w:t>二、项目概况</w:t>
      </w:r>
      <w:bookmarkEnd w:id="0"/>
      <w:bookmarkEnd w:id="1"/>
      <w:bookmarkEnd w:id="2"/>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2021年对市（州）人民政府履行教育职责评价系统服务项目，具体要求如下：</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（一）系统功能</w:t>
      </w:r>
      <w:r>
        <w:rPr>
          <w:rFonts w:hint="eastAsia" w:ascii="Times New Roman" w:hAnsi="Times New Roman" w:eastAsia="仿宋_GB2312" w:cs="Times New Roman"/>
          <w:b/>
          <w:sz w:val="32"/>
          <w:szCs w:val="32"/>
        </w:rPr>
        <w:t>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整个系统由用户系统、通知系统、数据采集系统、评价系统、评价结果导出系统构成，系统功能</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详见附件1。</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（二）服务时间要求</w:t>
      </w:r>
      <w:bookmarkStart w:id="6" w:name="_GoBack"/>
      <w:bookmarkEnd w:id="6"/>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2021年8月</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日至2022年2月20日。</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（三）特别要求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1.参加竞争性磋商的供应商应当具有计算机软、硬件开发销售、计算机网络系统集成及其技术服务资质，能满足采购项目提出的特殊条件。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2.参加竞争性磋商的供应商应根据本说明提供平台研发的技术方案，涉及数据采集、分析、评价、报告功能的需明确具体算法。</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三、项目金额</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（一）项目金额及资金性质：项目预算为人民币伍万元整（¥50000），</w:t>
      </w:r>
      <w:r>
        <w:rPr>
          <w:rFonts w:ascii="Times New Roman" w:hAnsi="Times New Roman" w:eastAsia="仿宋_GB2312" w:cs="Times New Roman"/>
          <w:sz w:val="32"/>
          <w:szCs w:val="32"/>
        </w:rPr>
        <w:t>资金来源为财政资金。</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费用包括：</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1.购买具备描述功能的系统服务；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2.购买满足系统功能需求的云服务器（至2022年2月20日）、域名服务（至2022年2月20日）的费用。</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（二）最高限额：人民币伍万元整（¥50000）。</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四、完成期限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合同签订之日起10天内完成。</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五、竞争性磋商申请人资格条件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（一）具有独立承担民事责任的能力；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（二）具有项目所需经营许可证；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（三）具有计算机软、硬件开发销售、计算机网络系统集成及其技术服务资质，能满足采购项目提出的特殊条件；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（四）具有良好的商业信誉和健全的财务会计制度（提供承诺函）；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（五）具有履行合同所必需的设备和专业技术能力（提供承诺函）；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（六）具有依法缴纳税收和社会保障资金的良好记录（提供承诺函）；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（七）参加本次比选活动前三年内，在经营活动中没有重大违法记录；法律、行政法规规定的其他条件（提供承诺函）；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（八）不接受联合体参与采购活动。</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六、响应文件提交要求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（一）响应文件包含的内容有：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1.报价函（见附件2）；</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2.项目方案及评分标准中其他相关内容要求（盖鲜章），评分标准见附件3；</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3.响应文件一式三份（密封并加盖鲜章）。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（二）供应商应按竞争性磋商文件的要求编写响应文件，提交证明其有资格进行报价和有能力履行要求的证明。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（三）响应文件在正式磋商开始开启，开启地点与磋商地点一致。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请符合资格条件的供应商于2021年8月</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日12:00前将响应文件送至四川省成都市双流区黄荆路11号四川省教育科学研究院办公楼313办公室黄老师收。响应文件必须在递交响应文件截止时间前送达。逾期送达或不符合规定的项目实施方案恕不接受。</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接受供应商报名或递交响应文件不表明已获取磋商资格，磋商会上通过资格审查的供应商才有磋商资格。</w:t>
      </w:r>
    </w:p>
    <w:p>
      <w:pPr>
        <w:spacing w:line="600" w:lineRule="exact"/>
        <w:ind w:firstLine="640" w:firstLineChars="200"/>
        <w:rPr>
          <w:rFonts w:ascii="Times New Roman" w:hAnsi="Times New Roman" w:eastAsia="黑体" w:cs="Times New Roman"/>
          <w:sz w:val="32"/>
          <w:szCs w:val="32"/>
        </w:rPr>
      </w:pPr>
      <w:bookmarkStart w:id="3" w:name="_Toc139126581"/>
      <w:bookmarkStart w:id="4" w:name="_Toc139103004"/>
      <w:bookmarkStart w:id="5" w:name="_Toc139126096"/>
      <w:r>
        <w:rPr>
          <w:rFonts w:ascii="Times New Roman" w:hAnsi="Times New Roman" w:eastAsia="黑体" w:cs="Times New Roman"/>
          <w:sz w:val="32"/>
          <w:szCs w:val="32"/>
        </w:rPr>
        <w:t>七、竞争性磋商评审</w:t>
      </w:r>
      <w:bookmarkEnd w:id="3"/>
      <w:bookmarkEnd w:id="4"/>
      <w:bookmarkEnd w:id="5"/>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（一）四川省教育</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院组建竞争性磋商小组，依照评分标准对响应文件进行审查、评定和比较，对采购内容进行必要的磋商。各项目申请人派1人授权代表参加（供应商如不派代表参加的，事后不得对相关人员、磋商过程和磋商结果提出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（二）磋商评定时间</w:t>
      </w:r>
      <w:r>
        <w:rPr>
          <w:rFonts w:hint="eastAsia" w:ascii="Times New Roman" w:hAnsi="Times New Roman" w:eastAsia="仿宋_GB2312" w:cs="Times New Roman"/>
          <w:sz w:val="32"/>
          <w:szCs w:val="32"/>
        </w:rPr>
        <w:t>为8月</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日1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地点</w:t>
      </w:r>
      <w:r>
        <w:rPr>
          <w:rFonts w:hint="eastAsia" w:ascii="Times New Roman" w:hAnsi="Times New Roman" w:eastAsia="仿宋_GB2312" w:cs="Times New Roman"/>
          <w:sz w:val="32"/>
          <w:szCs w:val="32"/>
        </w:rPr>
        <w:t>为四川省教育科学研究院</w:t>
      </w:r>
      <w:r>
        <w:rPr>
          <w:rFonts w:ascii="Times New Roman" w:hAnsi="Times New Roman" w:eastAsia="仿宋_GB2312" w:cs="Times New Roman"/>
          <w:sz w:val="32"/>
          <w:szCs w:val="32"/>
        </w:rPr>
        <w:t>401</w:t>
      </w:r>
      <w:r>
        <w:rPr>
          <w:rFonts w:hint="eastAsia" w:ascii="Times New Roman" w:hAnsi="Times New Roman" w:eastAsia="仿宋_GB2312" w:cs="Times New Roman"/>
          <w:sz w:val="32"/>
          <w:szCs w:val="32"/>
        </w:rPr>
        <w:t>会议室（四川省成都市双流区航空港黄荆路11号）</w:t>
      </w:r>
      <w:r>
        <w:rPr>
          <w:rFonts w:ascii="Times New Roman" w:hAnsi="Times New Roman" w:eastAsia="仿宋_GB2312" w:cs="Times New Roman"/>
          <w:sz w:val="32"/>
          <w:szCs w:val="32"/>
        </w:rPr>
        <w:t>，磋商结果在四川省教育科学研究院网站进行公示(www.scjks.net)。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八、项目咨询及联系人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项目咨询：</w:t>
      </w:r>
      <w:r>
        <w:rPr>
          <w:rFonts w:hint="eastAsia" w:ascii="Times New Roman" w:hAnsi="Times New Roman" w:eastAsia="仿宋_GB2312" w:cs="Times New Roman"/>
          <w:sz w:val="32"/>
          <w:szCs w:val="32"/>
        </w:rPr>
        <w:t>阎</w:t>
      </w:r>
      <w:r>
        <w:rPr>
          <w:rFonts w:ascii="Times New Roman" w:hAnsi="Times New Roman" w:eastAsia="仿宋_GB2312" w:cs="Times New Roman"/>
          <w:sz w:val="32"/>
          <w:szCs w:val="32"/>
        </w:rPr>
        <w:t>老师 15882088816</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响应文件接收：黄老师 18682692769</w:t>
      </w:r>
    </w:p>
    <w:p>
      <w:pPr>
        <w:spacing w:line="600" w:lineRule="exact"/>
        <w:ind w:firstLine="640" w:firstLineChars="200"/>
        <w:rPr>
          <w:rFonts w:ascii="Times New Roman" w:hAnsi="Times New Roman" w:eastAsia="仿宋_GB2312" w:cs="Times New Roman"/>
          <w:sz w:val="32"/>
          <w:szCs w:val="32"/>
        </w:rPr>
      </w:pPr>
    </w:p>
    <w:p>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附件：1.2021年对市（州）人民政府履行教育职责评价</w:t>
      </w:r>
    </w:p>
    <w:p>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系统服务项目系统功能</w:t>
      </w:r>
      <w:r>
        <w:rPr>
          <w:rFonts w:hint="eastAsia" w:ascii="Times New Roman" w:hAnsi="Times New Roman" w:eastAsia="仿宋_GB2312" w:cs="Times New Roman"/>
          <w:sz w:val="32"/>
          <w:szCs w:val="32"/>
        </w:rPr>
        <w:t>要求</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2.报价函</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 2021年对市（州）人民政府履行教育职责评价</w:t>
      </w:r>
    </w:p>
    <w:p>
      <w:pPr>
        <w:spacing w:line="60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系统服务项目综合评分表</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四川省教育</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院</w:t>
      </w:r>
    </w:p>
    <w:p>
      <w:pPr>
        <w:spacing w:line="600" w:lineRule="exact"/>
        <w:ind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2021年8月</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日</w:t>
      </w:r>
    </w:p>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spacing w:line="560" w:lineRule="exact"/>
        <w:rPr>
          <w:rFonts w:ascii="Times New Roman" w:hAnsi="Times New Roman" w:eastAsia="黑体" w:cs="Times New Roman"/>
          <w:b/>
          <w:bCs/>
          <w:kern w:val="0"/>
          <w:sz w:val="32"/>
          <w:szCs w:val="32"/>
        </w:rPr>
      </w:pPr>
      <w:r>
        <w:rPr>
          <w:rFonts w:ascii="Times New Roman" w:hAnsi="Times New Roman" w:eastAsia="黑体" w:cs="Times New Roman"/>
          <w:kern w:val="0"/>
          <w:sz w:val="32"/>
          <w:szCs w:val="32"/>
        </w:rPr>
        <w:t>附件1</w:t>
      </w:r>
    </w:p>
    <w:p>
      <w:pPr>
        <w:spacing w:line="560" w:lineRule="exact"/>
        <w:jc w:val="center"/>
        <w:rPr>
          <w:rFonts w:ascii="Times New Roman" w:hAnsi="Times New Roman" w:eastAsia="方正小标宋简体" w:cs="Times New Roman"/>
          <w:sz w:val="36"/>
          <w:szCs w:val="36"/>
        </w:rPr>
      </w:pPr>
    </w:p>
    <w:p>
      <w:pPr>
        <w:spacing w:line="560" w:lineRule="exact"/>
        <w:jc w:val="center"/>
        <w:rPr>
          <w:rFonts w:hint="eastAsia" w:ascii="Times New Roman" w:hAnsi="Times New Roman" w:eastAsia="方正小标宋简体" w:cs="Times New Roman"/>
          <w:sz w:val="36"/>
          <w:szCs w:val="36"/>
        </w:rPr>
      </w:pPr>
      <w:r>
        <w:rPr>
          <w:rFonts w:ascii="Times New Roman" w:hAnsi="Times New Roman" w:eastAsia="方正小标宋简体" w:cs="Times New Roman"/>
          <w:sz w:val="36"/>
          <w:szCs w:val="36"/>
        </w:rPr>
        <w:t>2021年对市（州）人民政府履行教育职责评价系统服务项目系统功能</w:t>
      </w:r>
      <w:r>
        <w:rPr>
          <w:rFonts w:hint="eastAsia" w:ascii="Times New Roman" w:hAnsi="Times New Roman" w:eastAsia="方正小标宋简体" w:cs="Times New Roman"/>
          <w:sz w:val="36"/>
          <w:szCs w:val="36"/>
        </w:rPr>
        <w:t>要求</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整个系统由用户系统、通知系统、数据采集系统、评价系统、评价结果导出系统构成。</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1.用户角色及管理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（1）用户角色分有：系统管理员、省级管理员、市级管理员、信息上报实施人员、评分人员（专家）。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（2）用户管理。用户无需注册，由上级使用手机号码进行分配（分配后会自动发送通知短信）；用户每次登录均使用验证码；如果用户是多角色登录时可以选择登录对应的角色，也可以多角色融为一体。</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2.用户权限及功能</w:t>
      </w:r>
      <w:r>
        <w:rPr>
          <w:rFonts w:ascii="Times New Roman" w:hAnsi="Times New Roman" w:eastAsia="仿宋_GB2312" w:cs="Times New Roman"/>
          <w:sz w:val="32"/>
          <w:szCs w:val="32"/>
        </w:rPr>
        <w:t>（含数据采集、评价、分析、报告等功能要求）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■系统管理员的权限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（1）分配省级管理员。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（2）设定使用的三级评价指标体系。且允许指标体系自由调整。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（3）设定省管辖内的市（州）。</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■省级管理员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（1）维护省管辖内的各市（州）默认管理人员电话。</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（2）维护专家一览电话。</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（3）组织数据填写。</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发布任务计划（填写开始时间，预定结束时间等）。</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分数体系设置（每个指标的最低分，最高分，增幅）。</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指标自由组合。</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④</w:t>
      </w:r>
      <w:r>
        <w:rPr>
          <w:rFonts w:ascii="Times New Roman" w:hAnsi="Times New Roman" w:eastAsia="仿宋_GB2312" w:cs="Times New Roman"/>
          <w:sz w:val="32"/>
          <w:szCs w:val="32"/>
        </w:rPr>
        <w:t>指定各市（州）负责人（默认设置为管理人员名单，可以调整市级管理人员）。</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⑤</w:t>
      </w:r>
      <w:r>
        <w:rPr>
          <w:rFonts w:ascii="Times New Roman" w:hAnsi="Times New Roman" w:eastAsia="仿宋_GB2312" w:cs="Times New Roman"/>
          <w:sz w:val="32"/>
          <w:szCs w:val="32"/>
        </w:rPr>
        <w:t>取消该次数据填写任务（取消时可以选择是否向各市级管理人员发送短信通知）。</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⑥</w:t>
      </w:r>
      <w:r>
        <w:rPr>
          <w:rFonts w:ascii="Times New Roman" w:hAnsi="Times New Roman" w:eastAsia="仿宋_GB2312" w:cs="Times New Roman"/>
          <w:sz w:val="32"/>
          <w:szCs w:val="32"/>
        </w:rPr>
        <w:t>调整任务开始或结束时间，同时选择发送短信通知。</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⑦</w:t>
      </w:r>
      <w:r>
        <w:rPr>
          <w:rFonts w:ascii="Times New Roman" w:hAnsi="Times New Roman" w:eastAsia="仿宋_GB2312" w:cs="Times New Roman"/>
          <w:sz w:val="32"/>
          <w:szCs w:val="32"/>
        </w:rPr>
        <w:t>驳回某个市（州）的提交内容。</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⑧</w:t>
      </w:r>
      <w:r>
        <w:rPr>
          <w:rFonts w:ascii="Times New Roman" w:hAnsi="Times New Roman" w:eastAsia="仿宋_GB2312" w:cs="Times New Roman"/>
          <w:sz w:val="32"/>
          <w:szCs w:val="32"/>
        </w:rPr>
        <w:t>审批通过某个市（州）的提交内容。</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⑨</w:t>
      </w:r>
      <w:r>
        <w:rPr>
          <w:rFonts w:ascii="Times New Roman" w:hAnsi="Times New Roman" w:eastAsia="仿宋_GB2312" w:cs="Times New Roman"/>
          <w:sz w:val="32"/>
          <w:szCs w:val="32"/>
        </w:rPr>
        <w:t>完成数据填写阶段的工作。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（4）评分管理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只有第一阶段（数据填写）完成的前提下才能进入到该阶段。</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为所有的评分项目设置专家：一个专家可以评选多个指标，每个指标也允许多个专家点评。但所有评分项目应该最少一个专家。</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根据任务分配情况推送评审材料。</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专家工作进度提醒。</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④</w:t>
      </w:r>
      <w:r>
        <w:rPr>
          <w:rFonts w:ascii="Times New Roman" w:hAnsi="Times New Roman" w:eastAsia="仿宋_GB2312" w:cs="Times New Roman"/>
          <w:sz w:val="32"/>
          <w:szCs w:val="32"/>
        </w:rPr>
        <w:t>评分完成确定。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（5）查看</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用百分比标识每个阶段的工作进度。</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可以查看全省的整体汇总数据和各个市（州）的数据，包括评分及各个专家的评分详情。</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市（州）对比（注：至少满足各类描述统计需要并提供算法）。</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④</w:t>
      </w:r>
      <w:r>
        <w:rPr>
          <w:rFonts w:ascii="Times New Roman" w:hAnsi="Times New Roman" w:eastAsia="仿宋_GB2312" w:cs="Times New Roman"/>
          <w:sz w:val="32"/>
          <w:szCs w:val="32"/>
        </w:rPr>
        <w:t>年度对比（注：包括跨年度对比，需提供算法）。</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⑤</w:t>
      </w:r>
      <w:r>
        <w:rPr>
          <w:rFonts w:ascii="Times New Roman" w:hAnsi="Times New Roman" w:eastAsia="仿宋_GB2312" w:cs="Times New Roman"/>
          <w:sz w:val="32"/>
          <w:szCs w:val="32"/>
        </w:rPr>
        <w:t>针对市（州）对比和年度对比可视化呈现。</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⑥</w:t>
      </w:r>
      <w:r>
        <w:rPr>
          <w:rFonts w:ascii="Times New Roman" w:hAnsi="Times New Roman" w:eastAsia="仿宋_GB2312" w:cs="Times New Roman"/>
          <w:sz w:val="32"/>
          <w:szCs w:val="32"/>
        </w:rPr>
        <w:t>分析报告下载。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■市（州）级管理员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（1）填写人员电话号码维护。</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（2）每个指标最多一人填写。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（3）可以给所有填写人员发布填写提醒。</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（4）可以直接修改或驳回填写信息。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（5）审核提交填写内容。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（6）查看。</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查看填写进度百分比。</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所在市（州）的评分结果。</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所在市（州）与平均分的比较结果。</w:t>
      </w:r>
    </w:p>
    <w:p>
      <w:pPr>
        <w:spacing w:line="6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④</w:t>
      </w:r>
      <w:r>
        <w:rPr>
          <w:rFonts w:ascii="Times New Roman" w:hAnsi="Times New Roman" w:eastAsia="仿宋_GB2312" w:cs="Times New Roman"/>
          <w:sz w:val="32"/>
          <w:szCs w:val="32"/>
        </w:rPr>
        <w:t>其他。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■信息上报填写者（填写人员）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（1）接收短信通知，根据收到的短信提示进入系统。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（2）填写具体项目，如需要自评分可以填写评分。审核未通过可以随时修改，一旦通过审核不能再修改。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（3）审核被驳回会收到短信提示，并根据提示修改重新提交。</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■评分人员（专家）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（1）接收评分提示、进度催促、驳回等短信通知。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（2）对评分项目进行评分。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（3）未审核结束前可以修改评分。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（4）被驳回后也可以修改评分。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（5）审批结束之后不能修改评分。</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3.通知系统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通知均采用短信通知。通知的种类大致包括：</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（1）新建用户的通知。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（2）验证码。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（3）提交通知。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（4）驳回通知。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（5）群发通知。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（6）专家邀请。</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（7）开始通知。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（8）结束通知。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（9）取消/异常通知。</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4.其他</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仿宋_GB2312" w:cs="Times New Roman"/>
          <w:sz w:val="32"/>
          <w:szCs w:val="32"/>
        </w:rPr>
        <w:t>根据实际工作需要，增加其他功能需求，或对上述功能进行完善。增加部分不超过完成上述功能所需工作量的30%。</w:t>
      </w:r>
      <w:r>
        <w:rPr>
          <w:rFonts w:ascii="Times New Roman" w:hAnsi="Times New Roman" w:eastAsia="黑体" w:cs="Times New Roman"/>
          <w:kern w:val="0"/>
          <w:sz w:val="32"/>
          <w:szCs w:val="32"/>
        </w:rPr>
        <w:br w:type="page"/>
      </w:r>
    </w:p>
    <w:p>
      <w:pPr>
        <w:spacing w:line="560" w:lineRule="exact"/>
        <w:rPr>
          <w:rFonts w:ascii="Times New Roman" w:hAnsi="Times New Roman" w:eastAsia="黑体" w:cs="Times New Roman"/>
          <w:b/>
          <w:bCs/>
          <w:kern w:val="0"/>
          <w:sz w:val="32"/>
          <w:szCs w:val="32"/>
        </w:rPr>
      </w:pPr>
      <w:r>
        <w:rPr>
          <w:rFonts w:ascii="Times New Roman" w:hAnsi="Times New Roman" w:eastAsia="黑体" w:cs="Times New Roman"/>
          <w:kern w:val="0"/>
          <w:sz w:val="32"/>
          <w:szCs w:val="32"/>
        </w:rPr>
        <w:t>附件2</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报价函</w:t>
      </w:r>
    </w:p>
    <w:p>
      <w:pPr>
        <w:spacing w:line="560" w:lineRule="exact"/>
        <w:jc w:val="center"/>
        <w:rPr>
          <w:rFonts w:ascii="Times New Roman" w:hAnsi="Times New Roman" w:eastAsia="方正小标宋简体" w:cs="Times New Roman"/>
          <w:sz w:val="36"/>
          <w:szCs w:val="36"/>
        </w:rPr>
      </w:pPr>
    </w:p>
    <w:p>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sz w:val="32"/>
          <w:szCs w:val="32"/>
        </w:rPr>
        <w:t>四川省教育</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院：</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我方仔细研究了2021年对市（州）人民政府履行教育职责评价系统服务项目竞争性磋商公告的全部内容，现就该项目向贵单位作如下报价：</w:t>
      </w:r>
    </w:p>
    <w:tbl>
      <w:tblPr>
        <w:tblStyle w:val="6"/>
        <w:tblW w:w="7999" w:type="dxa"/>
        <w:tblInd w:w="150" w:type="dxa"/>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
      <w:tblGrid>
        <w:gridCol w:w="4804"/>
        <w:gridCol w:w="3195"/>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594" w:hRule="atLeast"/>
        </w:trPr>
        <w:tc>
          <w:tcPr>
            <w:tcW w:w="4804"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sz w:val="32"/>
                <w:szCs w:val="32"/>
              </w:rPr>
              <w:t>类别</w:t>
            </w:r>
          </w:p>
        </w:tc>
        <w:tc>
          <w:tcPr>
            <w:tcW w:w="3195"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sz w:val="32"/>
                <w:szCs w:val="32"/>
              </w:rPr>
              <w:t>单价（元）</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829" w:hRule="atLeast"/>
        </w:trPr>
        <w:tc>
          <w:tcPr>
            <w:tcW w:w="4804"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560" w:lineRule="exact"/>
              <w:jc w:val="left"/>
              <w:rPr>
                <w:rFonts w:ascii="Times New Roman" w:hAnsi="Times New Roman" w:eastAsia="仿宋_GB2312" w:cs="Times New Roman"/>
                <w:b/>
                <w:bCs/>
                <w:color w:val="FF0000"/>
                <w:sz w:val="32"/>
                <w:szCs w:val="32"/>
              </w:rPr>
            </w:pPr>
            <w:r>
              <w:rPr>
                <w:rFonts w:ascii="Times New Roman" w:hAnsi="Times New Roman" w:eastAsia="仿宋_GB2312" w:cs="Times New Roman"/>
                <w:sz w:val="32"/>
                <w:szCs w:val="32"/>
              </w:rPr>
              <w:t>购买具备描述功能的系统服务</w:t>
            </w:r>
          </w:p>
        </w:tc>
        <w:tc>
          <w:tcPr>
            <w:tcW w:w="3195"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560" w:lineRule="exact"/>
              <w:ind w:firstLine="2570" w:firstLineChars="800"/>
              <w:rPr>
                <w:rFonts w:ascii="Times New Roman" w:hAnsi="Times New Roman" w:eastAsia="仿宋_GB2312" w:cs="Times New Roman"/>
                <w:b/>
                <w:bCs/>
                <w:color w:val="FF0000"/>
                <w:sz w:val="32"/>
                <w:szCs w:val="32"/>
              </w:rPr>
            </w:pP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975" w:hRule="atLeast"/>
        </w:trPr>
        <w:tc>
          <w:tcPr>
            <w:tcW w:w="4804"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560" w:lineRule="exact"/>
              <w:jc w:val="left"/>
              <w:rPr>
                <w:rFonts w:ascii="Times New Roman" w:hAnsi="Times New Roman" w:eastAsia="仿宋_GB2312" w:cs="Times New Roman"/>
                <w:b/>
                <w:bCs/>
                <w:color w:val="FF0000"/>
                <w:sz w:val="32"/>
                <w:szCs w:val="32"/>
              </w:rPr>
            </w:pPr>
            <w:r>
              <w:rPr>
                <w:rFonts w:ascii="Times New Roman" w:hAnsi="Times New Roman" w:eastAsia="仿宋_GB2312" w:cs="Times New Roman"/>
                <w:sz w:val="32"/>
                <w:szCs w:val="32"/>
              </w:rPr>
              <w:t>购买满足系统功能需求的云服务器（至2022年2月20日）、域名服务（至2022年2月20日）</w:t>
            </w:r>
          </w:p>
        </w:tc>
        <w:tc>
          <w:tcPr>
            <w:tcW w:w="3195"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560" w:lineRule="exact"/>
              <w:jc w:val="center"/>
              <w:rPr>
                <w:rFonts w:ascii="Times New Roman" w:hAnsi="Times New Roman" w:eastAsia="仿宋_GB2312" w:cs="Times New Roman"/>
                <w:b/>
                <w:bCs/>
                <w:color w:val="FF0000"/>
                <w:sz w:val="32"/>
                <w:szCs w:val="32"/>
                <w:lang w:bidi="ar"/>
              </w:rPr>
            </w:pPr>
            <w:r>
              <w:rPr>
                <w:rFonts w:ascii="Times New Roman" w:hAnsi="Times New Roman" w:eastAsia="仿宋_GB2312" w:cs="Times New Roman"/>
                <w:color w:val="FF0000"/>
                <w:sz w:val="32"/>
                <w:szCs w:val="32"/>
              </w:rPr>
              <w:t xml:space="preserve">             </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983" w:hRule="atLeast"/>
        </w:trPr>
        <w:tc>
          <w:tcPr>
            <w:tcW w:w="7999"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spacing w:line="560" w:lineRule="exact"/>
              <w:jc w:val="left"/>
              <w:rPr>
                <w:rFonts w:ascii="Times New Roman" w:hAnsi="Times New Roman" w:eastAsia="仿宋_GB2312" w:cs="Times New Roman"/>
                <w:b/>
                <w:bCs/>
                <w:color w:val="FF0000"/>
                <w:sz w:val="32"/>
                <w:szCs w:val="32"/>
              </w:rPr>
            </w:pPr>
            <w:r>
              <w:rPr>
                <w:rFonts w:ascii="Times New Roman" w:hAnsi="Times New Roman" w:eastAsia="仿宋_GB2312" w:cs="Times New Roman"/>
                <w:sz w:val="32"/>
                <w:szCs w:val="32"/>
              </w:rPr>
              <w:t>总价：</w:t>
            </w:r>
          </w:p>
        </w:tc>
      </w:tr>
    </w:tbl>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如果我方中标，我方将严格按照公告的内容及要求，保质保量地完成项目服务工作。</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3" w:firstLineChars="200"/>
        <w:rPr>
          <w:rFonts w:ascii="Times New Roman" w:hAnsi="Times New Roman" w:eastAsia="仿宋_GB2312" w:cs="Times New Roman"/>
          <w:b/>
          <w:bCs/>
          <w:sz w:val="32"/>
          <w:szCs w:val="32"/>
        </w:rPr>
      </w:pPr>
    </w:p>
    <w:p>
      <w:pPr>
        <w:spacing w:line="560" w:lineRule="exact"/>
        <w:ind w:firstLine="640" w:firstLineChars="200"/>
        <w:jc w:val="left"/>
        <w:rPr>
          <w:rFonts w:ascii="Times New Roman" w:hAnsi="Times New Roman" w:eastAsia="仿宋_GB2312" w:cs="Times New Roman"/>
          <w:b/>
          <w:bCs/>
          <w:sz w:val="32"/>
          <w:szCs w:val="32"/>
        </w:rPr>
      </w:pPr>
      <w:r>
        <w:rPr>
          <w:rFonts w:ascii="Times New Roman" w:hAnsi="Times New Roman" w:eastAsia="仿宋_GB2312" w:cs="Times New Roman"/>
          <w:sz w:val="32"/>
          <w:szCs w:val="32"/>
        </w:rPr>
        <w:t>                    投标人(盖章)</w:t>
      </w:r>
    </w:p>
    <w:p>
      <w:pPr>
        <w:spacing w:line="560" w:lineRule="exact"/>
        <w:ind w:firstLine="2240" w:firstLineChars="700"/>
        <w:jc w:val="left"/>
        <w:rPr>
          <w:rFonts w:ascii="Times New Roman" w:hAnsi="Times New Roman" w:eastAsia="仿宋_GB2312" w:cs="Times New Roman"/>
          <w:b/>
          <w:bCs/>
          <w:sz w:val="32"/>
          <w:szCs w:val="32"/>
        </w:rPr>
      </w:pPr>
      <w:r>
        <w:rPr>
          <w:rFonts w:ascii="Times New Roman" w:hAnsi="Times New Roman" w:eastAsia="仿宋_GB2312" w:cs="Times New Roman"/>
          <w:sz w:val="32"/>
          <w:szCs w:val="32"/>
        </w:rPr>
        <w:t>法人代表(或委托人)(签字)</w:t>
      </w:r>
    </w:p>
    <w:p>
      <w:pPr>
        <w:spacing w:line="560" w:lineRule="exact"/>
        <w:ind w:firstLine="2240" w:firstLineChars="700"/>
        <w:jc w:val="left"/>
        <w:rPr>
          <w:rFonts w:ascii="Times New Roman" w:hAnsi="Times New Roman" w:eastAsia="仿宋_GB2312" w:cs="Times New Roman"/>
          <w:b/>
          <w:bCs/>
          <w:sz w:val="32"/>
          <w:szCs w:val="32"/>
        </w:rPr>
      </w:pPr>
      <w:r>
        <w:rPr>
          <w:rFonts w:ascii="Times New Roman" w:hAnsi="Times New Roman" w:eastAsia="仿宋_GB2312" w:cs="Times New Roman"/>
          <w:sz w:val="32"/>
          <w:szCs w:val="32"/>
        </w:rPr>
        <w:t>时间：2021年    月    日</w:t>
      </w:r>
    </w:p>
    <w:p>
      <w:pPr>
        <w:spacing w:line="560" w:lineRule="exact"/>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br w:type="page"/>
      </w:r>
    </w:p>
    <w:p>
      <w:pPr>
        <w:spacing w:line="560"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附件3</w:t>
      </w:r>
    </w:p>
    <w:p>
      <w:pPr>
        <w:spacing w:line="560" w:lineRule="exact"/>
        <w:jc w:val="center"/>
        <w:rPr>
          <w:rFonts w:ascii="Times New Roman" w:hAnsi="Times New Roman" w:eastAsia="方正小标宋简体" w:cs="Times New Roman"/>
          <w:sz w:val="36"/>
          <w:szCs w:val="36"/>
        </w:rPr>
      </w:pP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2021年对市（州）人民政府履行教育职责评价系统服务项目综合评分表</w:t>
      </w:r>
    </w:p>
    <w:p>
      <w:pPr>
        <w:spacing w:line="500" w:lineRule="exact"/>
        <w:ind w:firstLine="640" w:firstLineChars="200"/>
        <w:rPr>
          <w:rFonts w:ascii="Times New Roman" w:hAnsi="Times New Roman" w:eastAsia="仿宋_GB2312" w:cs="Times New Roman"/>
          <w:sz w:val="32"/>
          <w:szCs w:val="32"/>
        </w:rPr>
      </w:pPr>
    </w:p>
    <w:p>
      <w:pPr>
        <w:spacing w:line="500" w:lineRule="exact"/>
        <w:ind w:firstLine="640" w:firstLineChars="200"/>
        <w:rPr>
          <w:rFonts w:ascii="方正小标宋_GBK" w:hAnsi="方正小标宋_GBK" w:eastAsia="方正小标宋_GBK" w:cs="方正小标宋_GBK"/>
          <w:b/>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资格审查内容</w:t>
      </w:r>
    </w:p>
    <w:tbl>
      <w:tblPr>
        <w:tblStyle w:val="6"/>
        <w:tblW w:w="8642" w:type="dxa"/>
        <w:jc w:val="center"/>
        <w:tblLayout w:type="autofit"/>
        <w:tblCellMar>
          <w:top w:w="0" w:type="dxa"/>
          <w:left w:w="108" w:type="dxa"/>
          <w:bottom w:w="0" w:type="dxa"/>
          <w:right w:w="108" w:type="dxa"/>
        </w:tblCellMar>
      </w:tblPr>
      <w:tblGrid>
        <w:gridCol w:w="2014"/>
        <w:gridCol w:w="6628"/>
      </w:tblGrid>
      <w:tr>
        <w:tblPrEx>
          <w:tblCellMar>
            <w:top w:w="0" w:type="dxa"/>
            <w:left w:w="108" w:type="dxa"/>
            <w:bottom w:w="0" w:type="dxa"/>
            <w:right w:w="108" w:type="dxa"/>
          </w:tblCellMar>
        </w:tblPrEx>
        <w:trPr>
          <w:trHeight w:val="593" w:hRule="atLeast"/>
          <w:jc w:val="center"/>
        </w:trPr>
        <w:tc>
          <w:tcPr>
            <w:tcW w:w="2014"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500" w:lineRule="exact"/>
              <w:jc w:val="center"/>
              <w:textAlignment w:val="center"/>
              <w:rPr>
                <w:rFonts w:hint="eastAsia" w:ascii="仿宋_GB2312" w:hAnsi="仿宋" w:eastAsia="仿宋_GB2312" w:cs="仿宋"/>
                <w:b/>
                <w:bCs/>
                <w:kern w:val="0"/>
                <w:sz w:val="28"/>
                <w:szCs w:val="28"/>
                <w:lang w:bidi="ar"/>
              </w:rPr>
            </w:pPr>
            <w:r>
              <w:rPr>
                <w:rFonts w:hint="eastAsia" w:ascii="仿宋_GB2312" w:hAnsi="仿宋" w:eastAsia="仿宋_GB2312" w:cs="仿宋"/>
                <w:kern w:val="0"/>
                <w:sz w:val="28"/>
                <w:szCs w:val="28"/>
                <w:lang w:bidi="ar"/>
              </w:rPr>
              <w:t>资格审查内容</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textAlignment w:val="center"/>
              <w:rPr>
                <w:rFonts w:hint="eastAsia" w:ascii="仿宋_GB2312" w:hAnsi="仿宋" w:eastAsia="仿宋_GB2312" w:cs="仿宋"/>
                <w:b/>
                <w:bCs/>
                <w:kern w:val="0"/>
                <w:sz w:val="28"/>
                <w:szCs w:val="28"/>
                <w:lang w:bidi="ar"/>
              </w:rPr>
            </w:pPr>
            <w:r>
              <w:rPr>
                <w:rFonts w:hint="eastAsia" w:ascii="仿宋_GB2312" w:hAnsi="仿宋" w:eastAsia="仿宋_GB2312" w:cs="仿宋"/>
                <w:sz w:val="28"/>
                <w:szCs w:val="28"/>
              </w:rPr>
              <w:t>（一）营业执照复印件；</w:t>
            </w:r>
          </w:p>
        </w:tc>
      </w:tr>
      <w:tr>
        <w:tblPrEx>
          <w:tblCellMar>
            <w:top w:w="0" w:type="dxa"/>
            <w:left w:w="108" w:type="dxa"/>
            <w:bottom w:w="0" w:type="dxa"/>
            <w:right w:w="108" w:type="dxa"/>
          </w:tblCellMar>
        </w:tblPrEx>
        <w:trPr>
          <w:trHeight w:val="593" w:hRule="atLeast"/>
          <w:jc w:val="center"/>
        </w:trPr>
        <w:tc>
          <w:tcPr>
            <w:tcW w:w="2014" w:type="dxa"/>
            <w:vMerge w:val="continue"/>
            <w:tcBorders>
              <w:left w:val="single" w:color="000000" w:sz="4" w:space="0"/>
              <w:right w:val="single" w:color="000000" w:sz="4" w:space="0"/>
            </w:tcBorders>
            <w:shd w:val="clear" w:color="auto" w:fill="auto"/>
            <w:noWrap/>
            <w:vAlign w:val="center"/>
          </w:tcPr>
          <w:p>
            <w:pPr>
              <w:widowControl/>
              <w:snapToGrid w:val="0"/>
              <w:spacing w:line="500" w:lineRule="exact"/>
              <w:jc w:val="center"/>
              <w:textAlignment w:val="center"/>
              <w:rPr>
                <w:rFonts w:hint="eastAsia" w:ascii="仿宋_GB2312" w:hAnsi="仿宋" w:eastAsia="仿宋_GB2312" w:cs="仿宋"/>
                <w:b/>
                <w:bCs/>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（二）具有项目所需经营许可证复印件；</w:t>
            </w:r>
          </w:p>
        </w:tc>
      </w:tr>
      <w:tr>
        <w:tblPrEx>
          <w:tblCellMar>
            <w:top w:w="0" w:type="dxa"/>
            <w:left w:w="108" w:type="dxa"/>
            <w:bottom w:w="0" w:type="dxa"/>
            <w:right w:w="108" w:type="dxa"/>
          </w:tblCellMar>
        </w:tblPrEx>
        <w:trPr>
          <w:trHeight w:val="593" w:hRule="atLeast"/>
          <w:jc w:val="center"/>
        </w:trPr>
        <w:tc>
          <w:tcPr>
            <w:tcW w:w="2014" w:type="dxa"/>
            <w:vMerge w:val="continue"/>
            <w:tcBorders>
              <w:left w:val="single" w:color="000000" w:sz="4" w:space="0"/>
              <w:right w:val="single" w:color="000000" w:sz="4" w:space="0"/>
            </w:tcBorders>
            <w:shd w:val="clear" w:color="auto" w:fill="auto"/>
            <w:noWrap/>
            <w:vAlign w:val="center"/>
          </w:tcPr>
          <w:p>
            <w:pPr>
              <w:widowControl/>
              <w:snapToGrid w:val="0"/>
              <w:spacing w:line="500" w:lineRule="exact"/>
              <w:jc w:val="center"/>
              <w:textAlignment w:val="center"/>
              <w:rPr>
                <w:rFonts w:hint="eastAsia" w:ascii="仿宋_GB2312" w:hAnsi="仿宋" w:eastAsia="仿宋_GB2312" w:cs="仿宋"/>
                <w:b/>
                <w:bCs/>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（三）具有计算机软、硬件开发销售、计算机网络系统集成及其技术服务资质，能满足采购项目提出的特殊条件；</w:t>
            </w:r>
          </w:p>
        </w:tc>
      </w:tr>
      <w:tr>
        <w:tblPrEx>
          <w:tblCellMar>
            <w:top w:w="0" w:type="dxa"/>
            <w:left w:w="108" w:type="dxa"/>
            <w:bottom w:w="0" w:type="dxa"/>
            <w:right w:w="108" w:type="dxa"/>
          </w:tblCellMar>
        </w:tblPrEx>
        <w:trPr>
          <w:trHeight w:val="593" w:hRule="atLeast"/>
          <w:jc w:val="center"/>
        </w:trPr>
        <w:tc>
          <w:tcPr>
            <w:tcW w:w="2014" w:type="dxa"/>
            <w:vMerge w:val="continue"/>
            <w:tcBorders>
              <w:left w:val="single" w:color="000000" w:sz="4" w:space="0"/>
              <w:right w:val="single" w:color="000000" w:sz="4" w:space="0"/>
            </w:tcBorders>
            <w:shd w:val="clear" w:color="auto" w:fill="auto"/>
            <w:noWrap/>
            <w:vAlign w:val="center"/>
          </w:tcPr>
          <w:p>
            <w:pPr>
              <w:widowControl/>
              <w:snapToGrid w:val="0"/>
              <w:spacing w:line="500" w:lineRule="exact"/>
              <w:jc w:val="center"/>
              <w:textAlignment w:val="center"/>
              <w:rPr>
                <w:rFonts w:hint="eastAsia" w:ascii="仿宋_GB2312" w:hAnsi="仿宋" w:eastAsia="仿宋_GB2312" w:cs="仿宋"/>
                <w:b/>
                <w:bCs/>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（四）具有良好的商业信誉和健全的财务会计制度（提供承诺函）；</w:t>
            </w:r>
          </w:p>
        </w:tc>
      </w:tr>
      <w:tr>
        <w:tblPrEx>
          <w:tblCellMar>
            <w:top w:w="0" w:type="dxa"/>
            <w:left w:w="108" w:type="dxa"/>
            <w:bottom w:w="0" w:type="dxa"/>
            <w:right w:w="108" w:type="dxa"/>
          </w:tblCellMar>
        </w:tblPrEx>
        <w:trPr>
          <w:trHeight w:val="593" w:hRule="atLeast"/>
          <w:jc w:val="center"/>
        </w:trPr>
        <w:tc>
          <w:tcPr>
            <w:tcW w:w="2014" w:type="dxa"/>
            <w:vMerge w:val="continue"/>
            <w:tcBorders>
              <w:left w:val="single" w:color="000000" w:sz="4" w:space="0"/>
              <w:right w:val="single" w:color="000000" w:sz="4" w:space="0"/>
            </w:tcBorders>
            <w:shd w:val="clear" w:color="auto" w:fill="auto"/>
            <w:noWrap/>
            <w:vAlign w:val="center"/>
          </w:tcPr>
          <w:p>
            <w:pPr>
              <w:widowControl/>
              <w:snapToGrid w:val="0"/>
              <w:spacing w:line="500" w:lineRule="exact"/>
              <w:jc w:val="center"/>
              <w:textAlignment w:val="center"/>
              <w:rPr>
                <w:rFonts w:hint="eastAsia" w:ascii="仿宋_GB2312" w:hAnsi="仿宋" w:eastAsia="仿宋_GB2312" w:cs="仿宋"/>
                <w:b/>
                <w:bCs/>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（五）具有履行合同所必需的设备和专业技术能力（提供承诺函）；</w:t>
            </w:r>
          </w:p>
        </w:tc>
      </w:tr>
      <w:tr>
        <w:tblPrEx>
          <w:tblCellMar>
            <w:top w:w="0" w:type="dxa"/>
            <w:left w:w="108" w:type="dxa"/>
            <w:bottom w:w="0" w:type="dxa"/>
            <w:right w:w="108" w:type="dxa"/>
          </w:tblCellMar>
        </w:tblPrEx>
        <w:trPr>
          <w:trHeight w:val="593" w:hRule="atLeast"/>
          <w:jc w:val="center"/>
        </w:trPr>
        <w:tc>
          <w:tcPr>
            <w:tcW w:w="2014" w:type="dxa"/>
            <w:vMerge w:val="continue"/>
            <w:tcBorders>
              <w:left w:val="single" w:color="000000" w:sz="4" w:space="0"/>
              <w:right w:val="single" w:color="000000" w:sz="4" w:space="0"/>
            </w:tcBorders>
            <w:shd w:val="clear" w:color="auto" w:fill="auto"/>
            <w:noWrap/>
            <w:vAlign w:val="center"/>
          </w:tcPr>
          <w:p>
            <w:pPr>
              <w:widowControl/>
              <w:snapToGrid w:val="0"/>
              <w:spacing w:line="500" w:lineRule="exact"/>
              <w:jc w:val="center"/>
              <w:textAlignment w:val="center"/>
              <w:rPr>
                <w:rFonts w:hint="eastAsia" w:ascii="仿宋_GB2312" w:hAnsi="仿宋" w:eastAsia="仿宋_GB2312" w:cs="仿宋"/>
                <w:b/>
                <w:bCs/>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（六）具有依法缴纳税收和社会保障资金的良好记录（提供承诺函）；</w:t>
            </w:r>
          </w:p>
        </w:tc>
      </w:tr>
      <w:tr>
        <w:tblPrEx>
          <w:tblCellMar>
            <w:top w:w="0" w:type="dxa"/>
            <w:left w:w="108" w:type="dxa"/>
            <w:bottom w:w="0" w:type="dxa"/>
            <w:right w:w="108" w:type="dxa"/>
          </w:tblCellMar>
        </w:tblPrEx>
        <w:trPr>
          <w:trHeight w:val="593" w:hRule="atLeast"/>
          <w:jc w:val="center"/>
        </w:trPr>
        <w:tc>
          <w:tcPr>
            <w:tcW w:w="2014" w:type="dxa"/>
            <w:vMerge w:val="continue"/>
            <w:tcBorders>
              <w:left w:val="single" w:color="000000" w:sz="4" w:space="0"/>
              <w:right w:val="single" w:color="000000" w:sz="4" w:space="0"/>
            </w:tcBorders>
            <w:shd w:val="clear" w:color="auto" w:fill="auto"/>
            <w:noWrap/>
            <w:vAlign w:val="center"/>
          </w:tcPr>
          <w:p>
            <w:pPr>
              <w:widowControl/>
              <w:snapToGrid w:val="0"/>
              <w:spacing w:line="500" w:lineRule="exact"/>
              <w:jc w:val="center"/>
              <w:textAlignment w:val="center"/>
              <w:rPr>
                <w:rFonts w:hint="eastAsia" w:ascii="仿宋_GB2312" w:hAnsi="仿宋" w:eastAsia="仿宋_GB2312" w:cs="仿宋"/>
                <w:b/>
                <w:bCs/>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（七）参加本次比选活动前三年内，在经营活动中没有重大违法记录；法律、行政法规规定的其他条件（提供承诺函）；</w:t>
            </w:r>
          </w:p>
        </w:tc>
      </w:tr>
      <w:tr>
        <w:tblPrEx>
          <w:tblCellMar>
            <w:top w:w="0" w:type="dxa"/>
            <w:left w:w="108" w:type="dxa"/>
            <w:bottom w:w="0" w:type="dxa"/>
            <w:right w:w="108" w:type="dxa"/>
          </w:tblCellMar>
        </w:tblPrEx>
        <w:trPr>
          <w:trHeight w:val="593" w:hRule="atLeast"/>
          <w:jc w:val="center"/>
        </w:trPr>
        <w:tc>
          <w:tcPr>
            <w:tcW w:w="2014"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jc w:val="center"/>
              <w:textAlignment w:val="center"/>
              <w:rPr>
                <w:rFonts w:hint="eastAsia" w:ascii="仿宋_GB2312" w:hAnsi="仿宋" w:eastAsia="仿宋_GB2312" w:cs="仿宋"/>
                <w:b/>
                <w:bCs/>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500" w:lineRule="exact"/>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（八）不接受联合体参与采购活动。</w:t>
            </w:r>
          </w:p>
        </w:tc>
      </w:tr>
    </w:tbl>
    <w:p>
      <w:pPr>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二、评分标准 </w:t>
      </w:r>
    </w:p>
    <w:tbl>
      <w:tblPr>
        <w:tblStyle w:val="6"/>
        <w:tblW w:w="8637" w:type="dxa"/>
        <w:jc w:val="center"/>
        <w:shd w:val="clear" w:color="auto" w:fill="FFFFFF"/>
        <w:tblLayout w:type="autofit"/>
        <w:tblCellMar>
          <w:top w:w="0" w:type="dxa"/>
          <w:left w:w="0" w:type="dxa"/>
          <w:bottom w:w="0" w:type="dxa"/>
          <w:right w:w="0" w:type="dxa"/>
        </w:tblCellMar>
      </w:tblPr>
      <w:tblGrid>
        <w:gridCol w:w="1344"/>
        <w:gridCol w:w="3268"/>
        <w:gridCol w:w="875"/>
        <w:gridCol w:w="3150"/>
      </w:tblGrid>
      <w:tr>
        <w:tblPrEx>
          <w:shd w:val="clear" w:color="auto" w:fill="FFFFFF"/>
          <w:tblCellMar>
            <w:top w:w="0" w:type="dxa"/>
            <w:left w:w="0" w:type="dxa"/>
            <w:bottom w:w="0" w:type="dxa"/>
            <w:right w:w="0" w:type="dxa"/>
          </w:tblCellMar>
        </w:tblPrEx>
        <w:trPr>
          <w:trHeight w:val="735" w:hRule="atLeast"/>
          <w:jc w:val="center"/>
        </w:trPr>
        <w:tc>
          <w:tcPr>
            <w:tcW w:w="1344" w:type="dxa"/>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内容</w:t>
            </w:r>
          </w:p>
        </w:tc>
        <w:tc>
          <w:tcPr>
            <w:tcW w:w="3268"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要求</w:t>
            </w:r>
          </w:p>
        </w:tc>
        <w:tc>
          <w:tcPr>
            <w:tcW w:w="875"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分值</w:t>
            </w:r>
          </w:p>
        </w:tc>
        <w:tc>
          <w:tcPr>
            <w:tcW w:w="3150"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评分标准</w:t>
            </w:r>
          </w:p>
        </w:tc>
      </w:tr>
      <w:tr>
        <w:tblPrEx>
          <w:shd w:val="clear" w:color="auto" w:fill="FFFFFF"/>
          <w:tblCellMar>
            <w:top w:w="0" w:type="dxa"/>
            <w:left w:w="0" w:type="dxa"/>
            <w:bottom w:w="0" w:type="dxa"/>
            <w:right w:w="0" w:type="dxa"/>
          </w:tblCellMar>
        </w:tblPrEx>
        <w:trPr>
          <w:trHeight w:val="715" w:hRule="atLeast"/>
          <w:jc w:val="center"/>
        </w:trPr>
        <w:tc>
          <w:tcPr>
            <w:tcW w:w="1344"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设计方案（50分）</w:t>
            </w:r>
          </w:p>
        </w:tc>
        <w:tc>
          <w:tcPr>
            <w:tcW w:w="326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1.满足标书所有功能</w:t>
            </w:r>
          </w:p>
        </w:tc>
        <w:tc>
          <w:tcPr>
            <w:tcW w:w="87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31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不满足0分</w:t>
            </w:r>
          </w:p>
        </w:tc>
      </w:tr>
      <w:tr>
        <w:tblPrEx>
          <w:tblCellMar>
            <w:top w:w="0" w:type="dxa"/>
            <w:left w:w="0" w:type="dxa"/>
            <w:bottom w:w="0" w:type="dxa"/>
            <w:right w:w="0" w:type="dxa"/>
          </w:tblCellMar>
        </w:tblPrEx>
        <w:trPr>
          <w:trHeight w:val="1099" w:hRule="atLeast"/>
          <w:jc w:val="center"/>
        </w:trPr>
        <w:tc>
          <w:tcPr>
            <w:tcW w:w="1344"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p>
        </w:tc>
        <w:tc>
          <w:tcPr>
            <w:tcW w:w="326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2.功能优化情况</w:t>
            </w:r>
          </w:p>
        </w:tc>
        <w:tc>
          <w:tcPr>
            <w:tcW w:w="87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3150"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差0分，一般1-4分，较好5-7分，优8-10分</w:t>
            </w:r>
          </w:p>
        </w:tc>
      </w:tr>
      <w:tr>
        <w:tblPrEx>
          <w:shd w:val="clear" w:color="auto" w:fill="FFFFFF"/>
          <w:tblCellMar>
            <w:top w:w="0" w:type="dxa"/>
            <w:left w:w="0" w:type="dxa"/>
            <w:bottom w:w="0" w:type="dxa"/>
            <w:right w:w="0" w:type="dxa"/>
          </w:tblCellMar>
        </w:tblPrEx>
        <w:trPr>
          <w:trHeight w:val="1139" w:hRule="atLeast"/>
          <w:jc w:val="center"/>
        </w:trPr>
        <w:tc>
          <w:tcPr>
            <w:tcW w:w="1344"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p>
        </w:tc>
        <w:tc>
          <w:tcPr>
            <w:tcW w:w="3268"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3.统计种类及算法专业性、科学性</w:t>
            </w:r>
          </w:p>
        </w:tc>
        <w:tc>
          <w:tcPr>
            <w:tcW w:w="87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3150"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差0分，一般1-4分，较好5-7分，优8-10分</w:t>
            </w:r>
          </w:p>
        </w:tc>
      </w:tr>
      <w:tr>
        <w:tblPrEx>
          <w:shd w:val="clear" w:color="auto" w:fill="FFFFFF"/>
          <w:tblCellMar>
            <w:top w:w="0" w:type="dxa"/>
            <w:left w:w="0" w:type="dxa"/>
            <w:bottom w:w="0" w:type="dxa"/>
            <w:right w:w="0" w:type="dxa"/>
          </w:tblCellMar>
        </w:tblPrEx>
        <w:trPr>
          <w:trHeight w:val="3043" w:hRule="atLeast"/>
          <w:jc w:val="center"/>
        </w:trPr>
        <w:tc>
          <w:tcPr>
            <w:tcW w:w="13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报    价</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（15分）</w:t>
            </w:r>
          </w:p>
        </w:tc>
        <w:tc>
          <w:tcPr>
            <w:tcW w:w="3268" w:type="dxa"/>
            <w:tcBorders>
              <w:top w:val="nil"/>
              <w:left w:val="nil"/>
              <w:bottom w:val="nil"/>
              <w:right w:val="nil"/>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1.根据描述功能完成系统研发；</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2.满足系统功能需求的云服务器（至2022年2月20日）、域名服务（至2022年2月20日）的费用</w:t>
            </w:r>
          </w:p>
        </w:tc>
        <w:tc>
          <w:tcPr>
            <w:tcW w:w="875"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15</w:t>
            </w:r>
          </w:p>
        </w:tc>
        <w:tc>
          <w:tcPr>
            <w:tcW w:w="3150"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最低者满分，然后从低到高每0.5万扣2分，扣分累计不超过8分。</w:t>
            </w:r>
          </w:p>
        </w:tc>
      </w:tr>
      <w:tr>
        <w:tblPrEx>
          <w:shd w:val="clear" w:color="auto" w:fill="FFFFFF"/>
          <w:tblCellMar>
            <w:top w:w="0" w:type="dxa"/>
            <w:left w:w="0" w:type="dxa"/>
            <w:bottom w:w="0" w:type="dxa"/>
            <w:right w:w="0" w:type="dxa"/>
          </w:tblCellMar>
        </w:tblPrEx>
        <w:trPr>
          <w:trHeight w:val="1039" w:hRule="atLeast"/>
          <w:jc w:val="center"/>
        </w:trPr>
        <w:tc>
          <w:tcPr>
            <w:tcW w:w="1344"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售后服务（15分）</w:t>
            </w:r>
          </w:p>
        </w:tc>
        <w:tc>
          <w:tcPr>
            <w:tcW w:w="3268"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1.服务承诺和培训方案</w:t>
            </w:r>
          </w:p>
        </w:tc>
        <w:tc>
          <w:tcPr>
            <w:tcW w:w="87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3150"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差0分，一般1-2分，较好3-4分，优5分</w:t>
            </w:r>
          </w:p>
        </w:tc>
      </w:tr>
      <w:tr>
        <w:tblPrEx>
          <w:tblCellMar>
            <w:top w:w="0" w:type="dxa"/>
            <w:left w:w="0" w:type="dxa"/>
            <w:bottom w:w="0" w:type="dxa"/>
            <w:right w:w="0" w:type="dxa"/>
          </w:tblCellMar>
        </w:tblPrEx>
        <w:trPr>
          <w:trHeight w:val="1392" w:hRule="atLeast"/>
          <w:jc w:val="center"/>
        </w:trPr>
        <w:tc>
          <w:tcPr>
            <w:tcW w:w="1344"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p>
        </w:tc>
        <w:tc>
          <w:tcPr>
            <w:tcW w:w="3268"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2.履行承诺的能力（人员的数量和专业、服务机制等）</w:t>
            </w:r>
          </w:p>
        </w:tc>
        <w:tc>
          <w:tcPr>
            <w:tcW w:w="87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3150"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差0分，一般1-4分，较好5-7分，优8-10分</w:t>
            </w:r>
          </w:p>
        </w:tc>
      </w:tr>
      <w:tr>
        <w:tblPrEx>
          <w:tblCellMar>
            <w:top w:w="0" w:type="dxa"/>
            <w:left w:w="0" w:type="dxa"/>
            <w:bottom w:w="0" w:type="dxa"/>
            <w:right w:w="0" w:type="dxa"/>
          </w:tblCellMar>
        </w:tblPrEx>
        <w:trPr>
          <w:trHeight w:val="1825" w:hRule="atLeast"/>
          <w:jc w:val="center"/>
        </w:trPr>
        <w:tc>
          <w:tcPr>
            <w:tcW w:w="13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现场展示（20分）</w:t>
            </w:r>
          </w:p>
        </w:tc>
        <w:tc>
          <w:tcPr>
            <w:tcW w:w="3268"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重点围绕设计方案或类似成功案例进行展示（提供合同复印件）或说明，回答提问。</w:t>
            </w:r>
          </w:p>
        </w:tc>
        <w:tc>
          <w:tcPr>
            <w:tcW w:w="87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w:t>
            </w:r>
          </w:p>
        </w:tc>
        <w:tc>
          <w:tcPr>
            <w:tcW w:w="3150"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差0分，一般1-8分，较好9-15分，优16-20分</w:t>
            </w:r>
          </w:p>
        </w:tc>
      </w:tr>
    </w:tbl>
    <w:p>
      <w:pPr>
        <w:spacing w:line="500" w:lineRule="exact"/>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734300"/>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684D6E"/>
    <w:rsid w:val="000B13E8"/>
    <w:rsid w:val="00185CC0"/>
    <w:rsid w:val="00221013"/>
    <w:rsid w:val="00225C30"/>
    <w:rsid w:val="002E7FDF"/>
    <w:rsid w:val="003977BF"/>
    <w:rsid w:val="00555253"/>
    <w:rsid w:val="00573809"/>
    <w:rsid w:val="005B2F3B"/>
    <w:rsid w:val="006C2DE4"/>
    <w:rsid w:val="006C50D4"/>
    <w:rsid w:val="007045F6"/>
    <w:rsid w:val="007B6C96"/>
    <w:rsid w:val="00877F60"/>
    <w:rsid w:val="008C5739"/>
    <w:rsid w:val="009A1827"/>
    <w:rsid w:val="009E4B58"/>
    <w:rsid w:val="00A01610"/>
    <w:rsid w:val="00AC458D"/>
    <w:rsid w:val="00BB26AB"/>
    <w:rsid w:val="00BC3F0D"/>
    <w:rsid w:val="00BF234C"/>
    <w:rsid w:val="00C17978"/>
    <w:rsid w:val="00C37E84"/>
    <w:rsid w:val="00DF3CDD"/>
    <w:rsid w:val="00E24893"/>
    <w:rsid w:val="00EA14B2"/>
    <w:rsid w:val="00ED091A"/>
    <w:rsid w:val="00F347D1"/>
    <w:rsid w:val="00F36FEC"/>
    <w:rsid w:val="00F87809"/>
    <w:rsid w:val="00F92DA6"/>
    <w:rsid w:val="00FC4C34"/>
    <w:rsid w:val="00FF41A8"/>
    <w:rsid w:val="150E367F"/>
    <w:rsid w:val="1ADD158B"/>
    <w:rsid w:val="20125D37"/>
    <w:rsid w:val="334918DC"/>
    <w:rsid w:val="51684D6E"/>
    <w:rsid w:val="64C2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uiPriority w:val="0"/>
    <w:rPr>
      <w:color w:val="0563C1" w:themeColor="hyperlink"/>
      <w:u w:val="single"/>
      <w14:textFill>
        <w14:solidFill>
          <w14:schemeClr w14:val="hlink"/>
        </w14:solidFill>
      </w14:textFill>
    </w:rPr>
  </w:style>
  <w:style w:type="character" w:customStyle="1" w:styleId="9">
    <w:name w:val="页眉 字符"/>
    <w:basedOn w:val="7"/>
    <w:link w:val="4"/>
    <w:uiPriority w:val="0"/>
    <w:rPr>
      <w:rFonts w:asciiTheme="minorHAnsi" w:hAnsiTheme="minorHAnsi" w:eastAsiaTheme="minorEastAsia" w:cstheme="minorBidi"/>
      <w:kern w:val="2"/>
      <w:sz w:val="18"/>
      <w:szCs w:val="18"/>
    </w:rPr>
  </w:style>
  <w:style w:type="character" w:customStyle="1" w:styleId="10">
    <w:name w:val="页脚 字符"/>
    <w:basedOn w:val="7"/>
    <w:link w:val="3"/>
    <w:uiPriority w:val="99"/>
    <w:rPr>
      <w:rFonts w:asciiTheme="minorHAnsi" w:hAnsiTheme="minorHAnsi" w:eastAsiaTheme="minorEastAsia" w:cstheme="minorBidi"/>
      <w:kern w:val="2"/>
      <w:sz w:val="18"/>
      <w:szCs w:val="18"/>
    </w:rPr>
  </w:style>
  <w:style w:type="character" w:customStyle="1" w:styleId="11">
    <w:name w:val="批注框文本 字符"/>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604</Words>
  <Characters>3447</Characters>
  <Lines>28</Lines>
  <Paragraphs>8</Paragraphs>
  <TotalTime>57</TotalTime>
  <ScaleCrop>false</ScaleCrop>
  <LinksUpToDate>false</LinksUpToDate>
  <CharactersWithSpaces>4043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2021-08-17T01:26:00Z</dcterms:created>
  <dc:creator>夷客</dc:creator>
  <cp:lastModifiedBy>朴朴</cp:lastModifiedBy>
  <cp:lastPrinted>2021-08-17T02:48:00Z</cp:lastPrinted>
  <dcterms:modified xsi:type="dcterms:W3CDTF">2021-08-27T04:46:04Z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645839499_btnclosed</vt:lpwstr>
  </property>
  <property fmtid="{D5CDD505-2E9C-101B-9397-08002B2CF9AE}" pid="4" name="ICV">
    <vt:lpwstr>C31034A7D24243D28B10B165B931CEAF</vt:lpwstr>
  </property>
</Properties>
</file>